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D2" w:rsidRDefault="001B0399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E91BD60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spacing w:before="1"/>
        <w:rPr>
          <w:sz w:val="28"/>
        </w:rPr>
      </w:pPr>
    </w:p>
    <w:p w:rsidR="00765FD2" w:rsidRDefault="001B0399">
      <w:pPr>
        <w:spacing w:before="82"/>
        <w:ind w:left="2967" w:right="4265"/>
        <w:jc w:val="center"/>
        <w:rPr>
          <w:b/>
          <w:sz w:val="44"/>
        </w:rPr>
      </w:pPr>
      <w:r>
        <w:rPr>
          <w:b/>
          <w:color w:val="231F20"/>
          <w:sz w:val="44"/>
        </w:rPr>
        <w:t>Carrizal del Sótano</w:t>
      </w:r>
    </w:p>
    <w:p w:rsidR="00765FD2" w:rsidRDefault="001B0399">
      <w:pPr>
        <w:pStyle w:val="Textoindependiente"/>
        <w:spacing w:before="16"/>
        <w:ind w:left="2967" w:right="4265"/>
        <w:jc w:val="center"/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1405857</wp:posOffset>
            </wp:positionV>
            <wp:extent cx="5963255" cy="44212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3255" cy="4421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CCIEH: HGOCHP002</w:t>
      </w: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rPr>
          <w:sz w:val="26"/>
        </w:rPr>
      </w:pPr>
    </w:p>
    <w:p w:rsidR="00765FD2" w:rsidRDefault="00765FD2">
      <w:pPr>
        <w:pStyle w:val="Textoindependiente"/>
        <w:spacing w:before="7"/>
        <w:rPr>
          <w:sz w:val="26"/>
        </w:rPr>
      </w:pPr>
    </w:p>
    <w:p w:rsidR="00765FD2" w:rsidRDefault="001B0399">
      <w:pPr>
        <w:pStyle w:val="Textoindependiente"/>
        <w:ind w:left="6472"/>
      </w:pPr>
      <w:r>
        <w:rPr>
          <w:color w:val="231F20"/>
        </w:rPr>
        <w:t>Carrizal del Sótano: 130180011</w:t>
      </w:r>
    </w:p>
    <w:p w:rsidR="00765FD2" w:rsidRDefault="00765FD2">
      <w:pPr>
        <w:sectPr w:rsidR="00765FD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1B0399">
      <w:pPr>
        <w:spacing w:before="218"/>
        <w:ind w:left="2967" w:right="426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765FD2" w:rsidRDefault="00765FD2">
      <w:pPr>
        <w:pStyle w:val="Textoindependiente"/>
        <w:spacing w:before="2"/>
        <w:rPr>
          <w:b/>
          <w:sz w:val="46"/>
        </w:rPr>
      </w:pPr>
    </w:p>
    <w:p w:rsidR="00765FD2" w:rsidRDefault="001B0399">
      <w:pPr>
        <w:pStyle w:val="Textoindependiente"/>
        <w:spacing w:before="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Carrizal del Sótano</w:t>
      </w:r>
      <w:r>
        <w:t xml:space="preserve">, del Municipio de </w:t>
      </w:r>
      <w:proofErr w:type="spellStart"/>
      <w:r>
        <w:t>Chapulh</w:t>
      </w:r>
      <w:r>
        <w:t>uacán</w:t>
      </w:r>
      <w:proofErr w:type="spellEnd"/>
      <w:r>
        <w:t xml:space="preserve">, con clave INEGI </w:t>
      </w:r>
      <w:r>
        <w:rPr>
          <w:b/>
        </w:rPr>
        <w:t>130180011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HGOCHP002</w:t>
      </w:r>
      <w:r>
        <w:t>.</w:t>
      </w:r>
    </w:p>
    <w:p w:rsidR="00765FD2" w:rsidRDefault="00765FD2">
      <w:pPr>
        <w:pStyle w:val="Textoindependiente"/>
      </w:pPr>
    </w:p>
    <w:p w:rsidR="00765FD2" w:rsidRDefault="001B0399">
      <w:pPr>
        <w:pStyle w:val="Textoindependiente"/>
        <w:ind w:left="401" w:right="1696"/>
        <w:jc w:val="both"/>
      </w:pPr>
      <w:r>
        <w:rPr>
          <w:b/>
        </w:rPr>
        <w:t xml:space="preserve">Carrizal del Sótano </w:t>
      </w:r>
      <w:r>
        <w:t>mantiene Hablantes de</w:t>
      </w:r>
      <w:r>
        <w:t xml:space="preserve"> Lengua Indígena, de ahí que los habitantes se </w:t>
      </w:r>
      <w:proofErr w:type="spellStart"/>
      <w:r>
        <w:t>autoreconocen</w:t>
      </w:r>
      <w:proofErr w:type="spellEnd"/>
      <w:r>
        <w:t xml:space="preserve"> indígenas, a lo que suma la celebración de fiestas de las que destaca por su importancia la Fiesta Patronal en honor a La Virgen de la Concepción, ésta en su complejidad se integra por diversas m</w:t>
      </w:r>
      <w:r>
        <w:t>anifestaciones culturales que definen la identidad comunitaria.</w:t>
      </w:r>
    </w:p>
    <w:p w:rsidR="00765FD2" w:rsidRDefault="00765FD2">
      <w:pPr>
        <w:pStyle w:val="Textoindependiente"/>
      </w:pPr>
    </w:p>
    <w:p w:rsidR="00765FD2" w:rsidRDefault="001B0399">
      <w:pPr>
        <w:pStyle w:val="Textoindependiente"/>
        <w:ind w:left="401" w:right="1698"/>
        <w:jc w:val="both"/>
      </w:pPr>
      <w:r>
        <w:t xml:space="preserve">La Asamblea Comunitaria y Asamblea de Comité organizan la vida comunitaria a través de la relación entre los habitantes y las autoridades, pero también por el tratamiento de los aspectos que </w:t>
      </w:r>
      <w:r>
        <w:t>constituyen la vida del colectivo y justamente por los cuales se refuerza su identidad, no sólo en la existencia de sí mismos, sino de su complejidad.</w:t>
      </w:r>
    </w:p>
    <w:p w:rsidR="00765FD2" w:rsidRDefault="00765FD2">
      <w:pPr>
        <w:pStyle w:val="Textoindependiente"/>
      </w:pPr>
    </w:p>
    <w:p w:rsidR="00765FD2" w:rsidRDefault="001B0399">
      <w:pPr>
        <w:pStyle w:val="Textoindependiente"/>
        <w:ind w:left="401" w:right="1696"/>
        <w:jc w:val="both"/>
      </w:pPr>
      <w:r>
        <w:t xml:space="preserve">No se dispone de un reglamento </w:t>
      </w:r>
      <w:proofErr w:type="gramStart"/>
      <w:r>
        <w:t>interno</w:t>
      </w:r>
      <w:proofErr w:type="gramEnd"/>
      <w:r>
        <w:t xml:space="preserve"> pero son tomados en cuenta como reglas de normatividad los acuerd</w:t>
      </w:r>
      <w:r>
        <w:t>os hechos en las asambleas. Lo anterior es un rasgo característico de la comunidad en tanto intervienen elementos como el diálogo en la solución interna de conflictos o ante faltas menores; es fundamental la relación en el tratamiento de faltas y delitos c</w:t>
      </w:r>
      <w:r>
        <w:t>on las autoridades</w:t>
      </w:r>
      <w:r>
        <w:rPr>
          <w:spacing w:val="-1"/>
        </w:rPr>
        <w:t xml:space="preserve"> </w:t>
      </w:r>
      <w:r>
        <w:t>municipales.</w:t>
      </w:r>
    </w:p>
    <w:p w:rsidR="00765FD2" w:rsidRDefault="00765FD2">
      <w:pPr>
        <w:jc w:val="both"/>
        <w:sectPr w:rsidR="00765FD2">
          <w:pgSz w:w="12240" w:h="15840"/>
          <w:pgMar w:top="1060" w:right="0" w:bottom="280" w:left="1300" w:header="720" w:footer="720" w:gutter="0"/>
          <w:cols w:space="720"/>
        </w:sect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spacing w:before="7"/>
        <w:rPr>
          <w:sz w:val="27"/>
        </w:rPr>
      </w:pPr>
    </w:p>
    <w:p w:rsidR="00765FD2" w:rsidRDefault="001B0399">
      <w:pPr>
        <w:spacing w:before="99"/>
        <w:ind w:left="3514"/>
        <w:rPr>
          <w:b/>
          <w:sz w:val="18"/>
        </w:rPr>
      </w:pPr>
      <w:r>
        <w:rPr>
          <w:b/>
          <w:w w:val="105"/>
          <w:sz w:val="18"/>
        </w:rPr>
        <w:t xml:space="preserve">Carrizal del Sótano, </w:t>
      </w:r>
      <w:proofErr w:type="spellStart"/>
      <w:r>
        <w:rPr>
          <w:b/>
          <w:w w:val="105"/>
          <w:sz w:val="18"/>
        </w:rPr>
        <w:t>Chapulhuacán</w:t>
      </w:r>
      <w:proofErr w:type="spellEnd"/>
    </w:p>
    <w:p w:rsidR="00765FD2" w:rsidRDefault="00765FD2">
      <w:pPr>
        <w:pStyle w:val="Textoindependiente"/>
        <w:rPr>
          <w:b/>
          <w:sz w:val="20"/>
        </w:rPr>
      </w:pPr>
    </w:p>
    <w:p w:rsidR="00765FD2" w:rsidRDefault="00765FD2">
      <w:pPr>
        <w:pStyle w:val="Textoindependiente"/>
        <w:rPr>
          <w:b/>
          <w:sz w:val="20"/>
        </w:rPr>
      </w:pPr>
    </w:p>
    <w:p w:rsidR="00765FD2" w:rsidRDefault="00765FD2">
      <w:pPr>
        <w:pStyle w:val="Textoindependiente"/>
        <w:rPr>
          <w:b/>
          <w:sz w:val="20"/>
        </w:rPr>
      </w:pPr>
    </w:p>
    <w:p w:rsidR="00765FD2" w:rsidRDefault="00765FD2">
      <w:pPr>
        <w:pStyle w:val="Textoindependiente"/>
        <w:rPr>
          <w:b/>
          <w:sz w:val="20"/>
        </w:rPr>
      </w:pPr>
    </w:p>
    <w:p w:rsidR="00765FD2" w:rsidRDefault="00765FD2">
      <w:pPr>
        <w:pStyle w:val="Textoindependiente"/>
        <w:rPr>
          <w:b/>
          <w:sz w:val="17"/>
        </w:rPr>
      </w:pPr>
    </w:p>
    <w:p w:rsidR="00765FD2" w:rsidRDefault="001B0399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765FD2" w:rsidRDefault="001B0399">
      <w:pPr>
        <w:tabs>
          <w:tab w:val="left" w:pos="7934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HGOCHP002</w:t>
      </w:r>
    </w:p>
    <w:p w:rsidR="00765FD2" w:rsidRDefault="001B0399">
      <w:pPr>
        <w:tabs>
          <w:tab w:val="right" w:pos="8837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130180011</w:t>
      </w:r>
    </w:p>
    <w:p w:rsidR="00765FD2" w:rsidRDefault="00765FD2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7"/>
        <w:gridCol w:w="1409"/>
      </w:tblGrid>
      <w:tr w:rsidR="00765FD2">
        <w:trPr>
          <w:trHeight w:val="398"/>
        </w:trPr>
        <w:tc>
          <w:tcPr>
            <w:tcW w:w="4911" w:type="dxa"/>
            <w:shd w:val="clear" w:color="auto" w:fill="000000"/>
          </w:tcPr>
          <w:p w:rsidR="00765FD2" w:rsidRDefault="001B0399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7" w:type="dxa"/>
            <w:shd w:val="clear" w:color="auto" w:fill="000000"/>
          </w:tcPr>
          <w:p w:rsidR="00765FD2" w:rsidRDefault="001B0399">
            <w:pPr>
              <w:pStyle w:val="TableParagraph"/>
              <w:spacing w:before="0" w:line="200" w:lineRule="exact"/>
              <w:ind w:left="394" w:right="256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09" w:type="dxa"/>
            <w:shd w:val="clear" w:color="auto" w:fill="000000"/>
          </w:tcPr>
          <w:p w:rsidR="00765FD2" w:rsidRDefault="001B0399">
            <w:pPr>
              <w:pStyle w:val="TableParagraph"/>
              <w:spacing w:before="0" w:line="200" w:lineRule="exact"/>
              <w:ind w:left="206" w:right="320" w:firstLine="13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 OBTENIDO</w:t>
            </w:r>
          </w:p>
        </w:tc>
      </w:tr>
      <w:tr w:rsidR="00765FD2">
        <w:trPr>
          <w:trHeight w:val="199"/>
        </w:trPr>
        <w:tc>
          <w:tcPr>
            <w:tcW w:w="4911" w:type="dxa"/>
            <w:shd w:val="clear" w:color="auto" w:fill="92D050"/>
          </w:tcPr>
          <w:p w:rsidR="00765FD2" w:rsidRDefault="001B0399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7" w:type="dxa"/>
            <w:shd w:val="clear" w:color="auto" w:fill="92D050"/>
          </w:tcPr>
          <w:p w:rsidR="00765FD2" w:rsidRDefault="001B0399">
            <w:pPr>
              <w:pStyle w:val="TableParagraph"/>
              <w:spacing w:before="5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09" w:type="dxa"/>
            <w:shd w:val="clear" w:color="auto" w:fill="92D050"/>
          </w:tcPr>
          <w:p w:rsidR="00765FD2" w:rsidRDefault="001B0399">
            <w:pPr>
              <w:pStyle w:val="TableParagraph"/>
              <w:spacing w:before="0" w:line="180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14.5%</w:t>
            </w:r>
          </w:p>
        </w:tc>
      </w:tr>
      <w:tr w:rsidR="00765FD2">
        <w:trPr>
          <w:trHeight w:val="199"/>
        </w:trPr>
        <w:tc>
          <w:tcPr>
            <w:tcW w:w="4911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7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09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765FD2">
        <w:trPr>
          <w:trHeight w:val="199"/>
        </w:trPr>
        <w:tc>
          <w:tcPr>
            <w:tcW w:w="4911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7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765FD2">
        <w:trPr>
          <w:trHeight w:val="199"/>
        </w:trPr>
        <w:tc>
          <w:tcPr>
            <w:tcW w:w="4911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7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65FD2">
        <w:trPr>
          <w:trHeight w:val="199"/>
        </w:trPr>
        <w:tc>
          <w:tcPr>
            <w:tcW w:w="4911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7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765FD2">
        <w:trPr>
          <w:trHeight w:val="199"/>
        </w:trPr>
        <w:tc>
          <w:tcPr>
            <w:tcW w:w="4911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7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65FD2">
        <w:trPr>
          <w:trHeight w:val="199"/>
        </w:trPr>
        <w:tc>
          <w:tcPr>
            <w:tcW w:w="4911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7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09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765FD2">
        <w:trPr>
          <w:trHeight w:val="199"/>
        </w:trPr>
        <w:tc>
          <w:tcPr>
            <w:tcW w:w="4911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7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65FD2">
        <w:trPr>
          <w:trHeight w:val="199"/>
        </w:trPr>
        <w:tc>
          <w:tcPr>
            <w:tcW w:w="4911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7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65FD2">
        <w:trPr>
          <w:trHeight w:val="199"/>
        </w:trPr>
        <w:tc>
          <w:tcPr>
            <w:tcW w:w="4911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7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65FD2">
        <w:trPr>
          <w:trHeight w:val="199"/>
        </w:trPr>
        <w:tc>
          <w:tcPr>
            <w:tcW w:w="4911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7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65FD2">
        <w:trPr>
          <w:trHeight w:val="199"/>
        </w:trPr>
        <w:tc>
          <w:tcPr>
            <w:tcW w:w="4911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7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65FD2">
        <w:trPr>
          <w:trHeight w:val="196"/>
        </w:trPr>
        <w:tc>
          <w:tcPr>
            <w:tcW w:w="4911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7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765FD2" w:rsidRDefault="001B0399">
            <w:pPr>
              <w:pStyle w:val="TableParagraph"/>
              <w:spacing w:before="4" w:line="172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65FD2">
        <w:trPr>
          <w:trHeight w:val="201"/>
        </w:trPr>
        <w:tc>
          <w:tcPr>
            <w:tcW w:w="4911" w:type="dxa"/>
            <w:shd w:val="clear" w:color="auto" w:fill="FFFF00"/>
          </w:tcPr>
          <w:p w:rsidR="00765FD2" w:rsidRDefault="001B0399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7" w:type="dxa"/>
            <w:shd w:val="clear" w:color="auto" w:fill="FFFF00"/>
          </w:tcPr>
          <w:p w:rsidR="00765FD2" w:rsidRDefault="001B0399">
            <w:pPr>
              <w:pStyle w:val="TableParagraph"/>
              <w:spacing w:before="7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765FD2" w:rsidRDefault="001B0399">
            <w:pPr>
              <w:pStyle w:val="TableParagraph"/>
              <w:spacing w:before="7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65FD2">
        <w:trPr>
          <w:trHeight w:val="199"/>
        </w:trPr>
        <w:tc>
          <w:tcPr>
            <w:tcW w:w="4911" w:type="dxa"/>
            <w:shd w:val="clear" w:color="auto" w:fill="FFFF00"/>
          </w:tcPr>
          <w:p w:rsidR="00765FD2" w:rsidRDefault="001B039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7" w:type="dxa"/>
            <w:shd w:val="clear" w:color="auto" w:fill="FFFF00"/>
          </w:tcPr>
          <w:p w:rsidR="00765FD2" w:rsidRDefault="001B0399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765FD2" w:rsidRDefault="001B0399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65FD2">
        <w:trPr>
          <w:trHeight w:val="199"/>
        </w:trPr>
        <w:tc>
          <w:tcPr>
            <w:tcW w:w="4911" w:type="dxa"/>
            <w:shd w:val="clear" w:color="auto" w:fill="FFFF00"/>
          </w:tcPr>
          <w:p w:rsidR="00765FD2" w:rsidRDefault="001B039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7" w:type="dxa"/>
            <w:shd w:val="clear" w:color="auto" w:fill="FFFF00"/>
          </w:tcPr>
          <w:p w:rsidR="00765FD2" w:rsidRDefault="001B0399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765FD2" w:rsidRDefault="001B0399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765FD2">
        <w:trPr>
          <w:trHeight w:val="196"/>
        </w:trPr>
        <w:tc>
          <w:tcPr>
            <w:tcW w:w="4911" w:type="dxa"/>
            <w:shd w:val="clear" w:color="auto" w:fill="FFFF00"/>
          </w:tcPr>
          <w:p w:rsidR="00765FD2" w:rsidRDefault="001B0399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7" w:type="dxa"/>
            <w:shd w:val="clear" w:color="auto" w:fill="FFFF00"/>
          </w:tcPr>
          <w:p w:rsidR="00765FD2" w:rsidRDefault="001B0399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765FD2" w:rsidRDefault="001B0399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65FD2">
        <w:trPr>
          <w:trHeight w:val="201"/>
        </w:trPr>
        <w:tc>
          <w:tcPr>
            <w:tcW w:w="4911" w:type="dxa"/>
            <w:shd w:val="clear" w:color="auto" w:fill="FABF90"/>
          </w:tcPr>
          <w:p w:rsidR="00765FD2" w:rsidRDefault="001B0399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7" w:type="dxa"/>
            <w:shd w:val="clear" w:color="auto" w:fill="FABF90"/>
          </w:tcPr>
          <w:p w:rsidR="00765FD2" w:rsidRDefault="001B0399">
            <w:pPr>
              <w:pStyle w:val="TableParagraph"/>
              <w:spacing w:before="7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765FD2" w:rsidRDefault="001B0399">
            <w:pPr>
              <w:pStyle w:val="TableParagraph"/>
              <w:spacing w:before="7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65FD2">
        <w:trPr>
          <w:trHeight w:val="199"/>
        </w:trPr>
        <w:tc>
          <w:tcPr>
            <w:tcW w:w="4911" w:type="dxa"/>
            <w:shd w:val="clear" w:color="auto" w:fill="FABF90"/>
          </w:tcPr>
          <w:p w:rsidR="00765FD2" w:rsidRDefault="001B039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7" w:type="dxa"/>
            <w:shd w:val="clear" w:color="auto" w:fill="FABF90"/>
          </w:tcPr>
          <w:p w:rsidR="00765FD2" w:rsidRDefault="001B0399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ABF90"/>
          </w:tcPr>
          <w:p w:rsidR="00765FD2" w:rsidRDefault="001B0399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65FD2">
        <w:trPr>
          <w:trHeight w:val="199"/>
        </w:trPr>
        <w:tc>
          <w:tcPr>
            <w:tcW w:w="4911" w:type="dxa"/>
            <w:shd w:val="clear" w:color="auto" w:fill="FABF90"/>
          </w:tcPr>
          <w:p w:rsidR="00765FD2" w:rsidRDefault="001B0399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7" w:type="dxa"/>
            <w:shd w:val="clear" w:color="auto" w:fill="FABF90"/>
          </w:tcPr>
          <w:p w:rsidR="00765FD2" w:rsidRDefault="001B0399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FABF90"/>
          </w:tcPr>
          <w:p w:rsidR="00765FD2" w:rsidRDefault="001B0399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67.5%</w:t>
            </w:r>
          </w:p>
        </w:tc>
      </w:tr>
      <w:tr w:rsidR="00765FD2">
        <w:trPr>
          <w:trHeight w:val="196"/>
        </w:trPr>
        <w:tc>
          <w:tcPr>
            <w:tcW w:w="4911" w:type="dxa"/>
            <w:shd w:val="clear" w:color="auto" w:fill="FABF90"/>
          </w:tcPr>
          <w:p w:rsidR="00765FD2" w:rsidRDefault="001B0399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7" w:type="dxa"/>
            <w:shd w:val="clear" w:color="auto" w:fill="FABF90"/>
          </w:tcPr>
          <w:p w:rsidR="00765FD2" w:rsidRDefault="001B0399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765FD2" w:rsidRDefault="001B0399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765FD2">
        <w:trPr>
          <w:trHeight w:val="200"/>
        </w:trPr>
        <w:tc>
          <w:tcPr>
            <w:tcW w:w="4911" w:type="dxa"/>
            <w:shd w:val="clear" w:color="auto" w:fill="DCE6F1"/>
          </w:tcPr>
          <w:p w:rsidR="00765FD2" w:rsidRDefault="001B0399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7" w:type="dxa"/>
            <w:shd w:val="clear" w:color="auto" w:fill="DCE6F1"/>
          </w:tcPr>
          <w:p w:rsidR="00765FD2" w:rsidRDefault="001B0399">
            <w:pPr>
              <w:pStyle w:val="TableParagraph"/>
              <w:spacing w:before="7" w:line="173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DCE6F1"/>
          </w:tcPr>
          <w:p w:rsidR="00765FD2" w:rsidRDefault="001B0399">
            <w:pPr>
              <w:pStyle w:val="TableParagraph"/>
              <w:spacing w:before="7" w:line="173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</w:tbl>
    <w:p w:rsidR="00765FD2" w:rsidRDefault="00765FD2">
      <w:pPr>
        <w:pStyle w:val="Textoindependiente"/>
        <w:rPr>
          <w:sz w:val="18"/>
        </w:rPr>
      </w:pPr>
    </w:p>
    <w:p w:rsidR="00765FD2" w:rsidRDefault="00765FD2">
      <w:pPr>
        <w:pStyle w:val="Textoindependiente"/>
        <w:rPr>
          <w:sz w:val="18"/>
        </w:rPr>
      </w:pPr>
    </w:p>
    <w:p w:rsidR="00765FD2" w:rsidRDefault="00765FD2">
      <w:pPr>
        <w:pStyle w:val="Textoindependiente"/>
        <w:rPr>
          <w:sz w:val="18"/>
        </w:rPr>
      </w:pPr>
    </w:p>
    <w:p w:rsidR="00765FD2" w:rsidRDefault="00765FD2">
      <w:pPr>
        <w:pStyle w:val="Textoindependiente"/>
        <w:rPr>
          <w:sz w:val="18"/>
        </w:rPr>
      </w:pPr>
    </w:p>
    <w:p w:rsidR="00765FD2" w:rsidRDefault="00765FD2">
      <w:pPr>
        <w:pStyle w:val="Textoindependiente"/>
        <w:rPr>
          <w:sz w:val="18"/>
        </w:rPr>
      </w:pPr>
    </w:p>
    <w:p w:rsidR="00765FD2" w:rsidRDefault="00765FD2">
      <w:pPr>
        <w:pStyle w:val="Textoindependiente"/>
        <w:rPr>
          <w:sz w:val="18"/>
        </w:rPr>
      </w:pPr>
    </w:p>
    <w:p w:rsidR="00765FD2" w:rsidRDefault="00765FD2">
      <w:pPr>
        <w:pStyle w:val="Textoindependiente"/>
        <w:rPr>
          <w:sz w:val="18"/>
        </w:rPr>
      </w:pPr>
    </w:p>
    <w:p w:rsidR="00765FD2" w:rsidRDefault="00765FD2">
      <w:pPr>
        <w:pStyle w:val="Textoindependiente"/>
        <w:rPr>
          <w:sz w:val="18"/>
        </w:rPr>
      </w:pPr>
    </w:p>
    <w:p w:rsidR="00765FD2" w:rsidRDefault="00765FD2">
      <w:pPr>
        <w:pStyle w:val="Textoindependiente"/>
        <w:rPr>
          <w:sz w:val="18"/>
        </w:rPr>
      </w:pPr>
    </w:p>
    <w:p w:rsidR="00765FD2" w:rsidRDefault="00765FD2">
      <w:pPr>
        <w:pStyle w:val="Textoindependiente"/>
        <w:rPr>
          <w:sz w:val="18"/>
        </w:rPr>
      </w:pPr>
    </w:p>
    <w:p w:rsidR="00765FD2" w:rsidRDefault="00765FD2">
      <w:pPr>
        <w:pStyle w:val="Textoindependiente"/>
        <w:rPr>
          <w:sz w:val="18"/>
        </w:rPr>
      </w:pPr>
    </w:p>
    <w:p w:rsidR="00765FD2" w:rsidRDefault="00765FD2">
      <w:pPr>
        <w:pStyle w:val="Textoindependiente"/>
        <w:rPr>
          <w:sz w:val="18"/>
        </w:rPr>
      </w:pPr>
    </w:p>
    <w:p w:rsidR="00765FD2" w:rsidRDefault="00765FD2">
      <w:pPr>
        <w:pStyle w:val="Textoindependiente"/>
        <w:rPr>
          <w:sz w:val="18"/>
        </w:rPr>
      </w:pPr>
    </w:p>
    <w:p w:rsidR="00765FD2" w:rsidRDefault="00765FD2">
      <w:pPr>
        <w:pStyle w:val="Textoindependiente"/>
        <w:rPr>
          <w:sz w:val="18"/>
        </w:rPr>
      </w:pPr>
    </w:p>
    <w:p w:rsidR="00765FD2" w:rsidRDefault="00765FD2">
      <w:pPr>
        <w:pStyle w:val="Textoindependiente"/>
        <w:rPr>
          <w:sz w:val="18"/>
        </w:rPr>
      </w:pPr>
    </w:p>
    <w:p w:rsidR="00765FD2" w:rsidRDefault="001B0399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765FD2" w:rsidRDefault="001B0399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765FD2" w:rsidRDefault="00765FD2">
      <w:pPr>
        <w:spacing w:line="321" w:lineRule="auto"/>
        <w:rPr>
          <w:sz w:val="13"/>
        </w:rPr>
        <w:sectPr w:rsidR="00765FD2">
          <w:pgSz w:w="12240" w:h="15840"/>
          <w:pgMar w:top="1060" w:right="0" w:bottom="280" w:left="1300" w:header="720" w:footer="720" w:gutter="0"/>
          <w:cols w:space="720"/>
        </w:sectPr>
      </w:pPr>
    </w:p>
    <w:p w:rsidR="00765FD2" w:rsidRDefault="001B0399">
      <w:pPr>
        <w:spacing w:before="79"/>
        <w:ind w:left="3580"/>
        <w:rPr>
          <w:b/>
          <w:sz w:val="18"/>
        </w:rPr>
      </w:pPr>
      <w:r>
        <w:rPr>
          <w:b/>
          <w:w w:val="105"/>
          <w:sz w:val="18"/>
        </w:rPr>
        <w:lastRenderedPageBreak/>
        <w:t>Carrizal</w:t>
      </w:r>
      <w:r>
        <w:rPr>
          <w:b/>
          <w:spacing w:val="-16"/>
          <w:w w:val="105"/>
          <w:sz w:val="18"/>
        </w:rPr>
        <w:t xml:space="preserve"> </w:t>
      </w:r>
      <w:r>
        <w:rPr>
          <w:b/>
          <w:w w:val="105"/>
          <w:sz w:val="18"/>
        </w:rPr>
        <w:t>del</w:t>
      </w:r>
      <w:r>
        <w:rPr>
          <w:b/>
          <w:spacing w:val="-15"/>
          <w:w w:val="105"/>
          <w:sz w:val="18"/>
        </w:rPr>
        <w:t xml:space="preserve"> </w:t>
      </w:r>
      <w:r>
        <w:rPr>
          <w:b/>
          <w:w w:val="105"/>
          <w:sz w:val="18"/>
        </w:rPr>
        <w:t>Sótano,</w:t>
      </w:r>
      <w:r>
        <w:rPr>
          <w:b/>
          <w:spacing w:val="-16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Chapulhuacán</w:t>
      </w:r>
      <w:proofErr w:type="spellEnd"/>
    </w:p>
    <w:p w:rsidR="00765FD2" w:rsidRDefault="001B0399">
      <w:pPr>
        <w:tabs>
          <w:tab w:val="left" w:pos="1957"/>
          <w:tab w:val="right" w:pos="2787"/>
        </w:tabs>
        <w:spacing w:before="366" w:line="280" w:lineRule="auto"/>
        <w:ind w:left="931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lastRenderedPageBreak/>
        <w:t>Clave</w:t>
      </w:r>
      <w:r>
        <w:rPr>
          <w:spacing w:val="1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CCIEH</w:t>
      </w:r>
      <w:r>
        <w:rPr>
          <w:w w:val="105"/>
          <w:position w:val="1"/>
          <w:sz w:val="14"/>
        </w:rPr>
        <w:tab/>
      </w:r>
      <w:r>
        <w:rPr>
          <w:spacing w:val="-1"/>
          <w:w w:val="105"/>
          <w:sz w:val="14"/>
        </w:rPr>
        <w:t xml:space="preserve">HGOCHP002 </w:t>
      </w:r>
      <w:r>
        <w:rPr>
          <w:w w:val="105"/>
          <w:sz w:val="14"/>
        </w:rPr>
        <w:t>Clave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130180011</w:t>
      </w:r>
    </w:p>
    <w:p w:rsidR="00765FD2" w:rsidRDefault="00765FD2">
      <w:pPr>
        <w:spacing w:line="280" w:lineRule="auto"/>
        <w:rPr>
          <w:sz w:val="14"/>
        </w:rPr>
        <w:sectPr w:rsidR="00765FD2">
          <w:pgSz w:w="12240" w:h="15840"/>
          <w:pgMar w:top="920" w:right="0" w:bottom="280" w:left="1300" w:header="720" w:footer="720" w:gutter="0"/>
          <w:cols w:num="2" w:space="720" w:equalWidth="0">
            <w:col w:w="6410" w:space="40"/>
            <w:col w:w="4490"/>
          </w:cols>
        </w:sectPr>
      </w:pPr>
    </w:p>
    <w:p w:rsidR="00765FD2" w:rsidRDefault="001B0399">
      <w:pPr>
        <w:pStyle w:val="Textoindependiente"/>
        <w:spacing w:before="8"/>
        <w:rPr>
          <w:sz w:val="14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2390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765FD2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65FD2" w:rsidRDefault="001B0399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65FD2" w:rsidRDefault="00765FD2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765FD2" w:rsidRDefault="001B0399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65FD2" w:rsidRDefault="001B0399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65FD2" w:rsidRDefault="00765FD2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765FD2" w:rsidRDefault="001B0399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TOTAL OBTENIDO</w:t>
            </w:r>
          </w:p>
        </w:tc>
      </w:tr>
      <w:tr w:rsidR="00765FD2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765FD2" w:rsidRDefault="001B0399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765FD2" w:rsidRDefault="001B0399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765FD2" w:rsidRDefault="001B0399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765FD2" w:rsidRDefault="001B0399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14.5%</w:t>
            </w:r>
          </w:p>
        </w:tc>
      </w:tr>
      <w:tr w:rsidR="00765FD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65FD2" w:rsidRDefault="00765F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5FD2" w:rsidRDefault="00765F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5FD2" w:rsidRDefault="00765F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5FD2" w:rsidRDefault="001B0399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65FD2" w:rsidRDefault="00765F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5FD2" w:rsidRDefault="00765F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5FD2" w:rsidRDefault="00765F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5FD2" w:rsidRDefault="00765FD2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765FD2" w:rsidRDefault="001B0399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65FD2" w:rsidRDefault="00765F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5FD2" w:rsidRDefault="00765FD2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765FD2" w:rsidRDefault="001B0399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65FD2" w:rsidRDefault="00765F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5FD2" w:rsidRDefault="00765FD2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765FD2" w:rsidRDefault="001B0399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20.0%</w:t>
            </w: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shd w:val="clear" w:color="auto" w:fill="92D050"/>
          </w:tcPr>
          <w:p w:rsidR="00765FD2" w:rsidRDefault="001B0399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65FD2" w:rsidRDefault="001B039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65FD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65FD2" w:rsidRDefault="00765F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5FD2" w:rsidRDefault="00765FD2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65FD2" w:rsidRDefault="001B0399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65FD2" w:rsidRDefault="00765F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5FD2" w:rsidRDefault="00765FD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65FD2" w:rsidRDefault="001B0399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shd w:val="clear" w:color="auto" w:fill="92D050"/>
          </w:tcPr>
          <w:p w:rsidR="00765FD2" w:rsidRDefault="001B0399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65FD2" w:rsidRDefault="001B039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65FD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65FD2" w:rsidRDefault="001B0399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65FD2" w:rsidRDefault="00765FD2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765FD2" w:rsidRDefault="001B0399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shd w:val="clear" w:color="auto" w:fill="92D050"/>
          </w:tcPr>
          <w:p w:rsidR="00765FD2" w:rsidRDefault="001B0399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65FD2" w:rsidRDefault="001B039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65FD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65FD2" w:rsidRDefault="00765F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5FD2" w:rsidRDefault="00765FD2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65FD2" w:rsidRDefault="001B0399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65FD2" w:rsidRDefault="00765F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5FD2" w:rsidRDefault="00765FD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65FD2" w:rsidRDefault="001B0399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shd w:val="clear" w:color="auto" w:fill="92D050"/>
          </w:tcPr>
          <w:p w:rsidR="00765FD2" w:rsidRDefault="001B039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65FD2" w:rsidRDefault="001B039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65FD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65FD2" w:rsidRDefault="00765F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5FD2" w:rsidRDefault="00765FD2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65FD2" w:rsidRDefault="001B0399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65FD2" w:rsidRDefault="00765F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5FD2" w:rsidRDefault="00765FD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65FD2" w:rsidRDefault="001B0399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65FD2" w:rsidRDefault="00765FD2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765FD2" w:rsidRDefault="001B0399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65FD2" w:rsidRDefault="00765F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5FD2" w:rsidRDefault="00765FD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65FD2" w:rsidRDefault="001B0399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shd w:val="clear" w:color="auto" w:fill="92D050"/>
          </w:tcPr>
          <w:p w:rsidR="00765FD2" w:rsidRDefault="001B0399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765FD2" w:rsidRDefault="001B039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765FD2" w:rsidRDefault="001B039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765FD2" w:rsidRDefault="001B039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65FD2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765FD2" w:rsidRDefault="00765FD2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765FD2" w:rsidRDefault="001B0399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765FD2" w:rsidRDefault="001B039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765FD2" w:rsidRDefault="001B039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765FD2" w:rsidRDefault="00765F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5FD2" w:rsidRDefault="00765FD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65FD2" w:rsidRDefault="001B0399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65FD2" w:rsidRDefault="001B039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765FD2" w:rsidRDefault="001B039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65FD2" w:rsidRDefault="001B039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765FD2" w:rsidRDefault="001B039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65FD2" w:rsidRDefault="001B039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765FD2" w:rsidRDefault="001B039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shd w:val="clear" w:color="auto" w:fill="FFFF00"/>
          </w:tcPr>
          <w:p w:rsidR="00765FD2" w:rsidRDefault="001B039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765FD2" w:rsidRDefault="001B0399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765FD2" w:rsidRDefault="001B0399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765FD2" w:rsidRDefault="001B039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65FD2">
        <w:trPr>
          <w:trHeight w:val="184"/>
        </w:trPr>
        <w:tc>
          <w:tcPr>
            <w:tcW w:w="2561" w:type="dxa"/>
            <w:shd w:val="clear" w:color="auto" w:fill="FFFF00"/>
          </w:tcPr>
          <w:p w:rsidR="00765FD2" w:rsidRDefault="001B0399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765FD2" w:rsidRDefault="001B0399">
            <w:pPr>
              <w:pStyle w:val="TableParagraph"/>
              <w:spacing w:before="17" w:line="147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765FD2" w:rsidRDefault="001B0399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765FD2" w:rsidRDefault="001B039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65FD2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765FD2" w:rsidRDefault="00765F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5FD2" w:rsidRDefault="00765FD2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65FD2" w:rsidRDefault="001B0399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765FD2" w:rsidRDefault="001B039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765FD2" w:rsidRDefault="001B039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765FD2" w:rsidRDefault="00765F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5FD2" w:rsidRDefault="00765FD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65FD2" w:rsidRDefault="001B0399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65FD2" w:rsidRDefault="001B039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765FD2" w:rsidRDefault="001B039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65FD2" w:rsidRDefault="001B039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765FD2" w:rsidRDefault="001B039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65FD2" w:rsidRDefault="001B039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765FD2" w:rsidRDefault="001B039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shd w:val="clear" w:color="auto" w:fill="FABF90"/>
          </w:tcPr>
          <w:p w:rsidR="00765FD2" w:rsidRDefault="001B039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765FD2" w:rsidRDefault="001B0399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765FD2" w:rsidRDefault="001B0399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765FD2" w:rsidRDefault="001B039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65FD2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765FD2" w:rsidRDefault="00765F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5FD2" w:rsidRDefault="00765FD2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65FD2" w:rsidRDefault="001B0399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765FD2" w:rsidRDefault="001B0399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765FD2" w:rsidRDefault="001B0399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765FD2" w:rsidRDefault="00765F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5FD2" w:rsidRDefault="00765FD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65FD2" w:rsidRDefault="001B0399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65FD2" w:rsidRDefault="001B0399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765FD2" w:rsidRDefault="001B039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65FD2" w:rsidRDefault="001B0399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765FD2" w:rsidRDefault="001B039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65FD2" w:rsidRDefault="001B0399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765FD2" w:rsidRDefault="001B039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765FD2" w:rsidRDefault="00765F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5FD2" w:rsidRDefault="00765F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5FD2" w:rsidRDefault="00765F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5FD2" w:rsidRDefault="001B0399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765FD2" w:rsidRDefault="001B039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765FD2" w:rsidRDefault="001B039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18%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765FD2" w:rsidRDefault="00765F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5FD2" w:rsidRDefault="00765F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5FD2" w:rsidRDefault="00765F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5FD2" w:rsidRDefault="00765FD2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765FD2" w:rsidRDefault="001B0399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67.5%</w:t>
            </w: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65FD2" w:rsidRDefault="001B039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765FD2" w:rsidRDefault="001B039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65FD2" w:rsidRDefault="001B039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765FD2" w:rsidRDefault="001B039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65FD2" w:rsidRDefault="001B039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765FD2" w:rsidRDefault="001B039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65FD2" w:rsidRDefault="001B039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765FD2" w:rsidRDefault="001B039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65FD2" w:rsidRDefault="001B039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765FD2" w:rsidRDefault="001B039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65FD2" w:rsidRDefault="001B039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765FD2" w:rsidRDefault="001B0399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shd w:val="clear" w:color="auto" w:fill="FABF90"/>
          </w:tcPr>
          <w:p w:rsidR="00765FD2" w:rsidRDefault="001B039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765FD2" w:rsidRDefault="001B0399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765FD2" w:rsidRDefault="001B039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765FD2" w:rsidRDefault="001B0399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65FD2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765FD2" w:rsidRDefault="00765F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5FD2" w:rsidRDefault="00765FD2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65FD2" w:rsidRDefault="001B0399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765FD2" w:rsidRDefault="001B039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E4DFEC"/>
          </w:tcPr>
          <w:p w:rsidR="00765FD2" w:rsidRDefault="001B039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765FD2" w:rsidRDefault="00765F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65FD2" w:rsidRDefault="00765FD2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65FD2" w:rsidRDefault="001B0399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765FD2" w:rsidRDefault="001B039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E4DFEC"/>
          </w:tcPr>
          <w:p w:rsidR="00765FD2" w:rsidRDefault="001B039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765FD2" w:rsidRDefault="001B039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E4DFEC"/>
          </w:tcPr>
          <w:p w:rsidR="00765FD2" w:rsidRDefault="001B039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  <w:tr w:rsidR="00765FD2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765FD2" w:rsidRDefault="001B0399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E4DFEC"/>
          </w:tcPr>
          <w:p w:rsidR="00765FD2" w:rsidRDefault="001B0399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765FD2" w:rsidRDefault="00765FD2">
            <w:pPr>
              <w:rPr>
                <w:sz w:val="2"/>
                <w:szCs w:val="2"/>
              </w:rPr>
            </w:pPr>
          </w:p>
        </w:tc>
      </w:tr>
    </w:tbl>
    <w:p w:rsidR="00765FD2" w:rsidRDefault="001B0399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765FD2" w:rsidRDefault="00765FD2">
      <w:pPr>
        <w:rPr>
          <w:sz w:val="12"/>
        </w:rPr>
        <w:sectPr w:rsidR="00765FD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spacing w:before="10"/>
        <w:rPr>
          <w:sz w:val="16"/>
        </w:rPr>
      </w:pPr>
    </w:p>
    <w:p w:rsidR="00765FD2" w:rsidRDefault="001B0399">
      <w:pPr>
        <w:spacing w:before="99"/>
        <w:ind w:left="3519"/>
        <w:rPr>
          <w:b/>
          <w:sz w:val="18"/>
        </w:rPr>
      </w:pPr>
      <w:r>
        <w:rPr>
          <w:b/>
          <w:w w:val="105"/>
          <w:sz w:val="18"/>
        </w:rPr>
        <w:t xml:space="preserve">Carrizal del Sótano, </w:t>
      </w:r>
      <w:proofErr w:type="spellStart"/>
      <w:r>
        <w:rPr>
          <w:b/>
          <w:w w:val="105"/>
          <w:sz w:val="18"/>
        </w:rPr>
        <w:t>Chapulhuacán</w:t>
      </w:r>
      <w:proofErr w:type="spellEnd"/>
    </w:p>
    <w:p w:rsidR="00765FD2" w:rsidRDefault="00765FD2">
      <w:pPr>
        <w:pStyle w:val="Textoindependiente"/>
        <w:spacing w:before="2"/>
        <w:rPr>
          <w:b/>
        </w:rPr>
      </w:pPr>
    </w:p>
    <w:p w:rsidR="00765FD2" w:rsidRDefault="001B0399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HGOCHP002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130180011</w:t>
      </w:r>
    </w:p>
    <w:p w:rsidR="00765FD2" w:rsidRDefault="00765FD2">
      <w:pPr>
        <w:spacing w:line="268" w:lineRule="auto"/>
        <w:rPr>
          <w:sz w:val="14"/>
        </w:rPr>
        <w:sectPr w:rsidR="00765FD2">
          <w:pgSz w:w="12240" w:h="15840"/>
          <w:pgMar w:top="1060" w:right="0" w:bottom="280" w:left="1300" w:header="720" w:footer="720" w:gutter="0"/>
          <w:cols w:space="720"/>
        </w:sectPr>
      </w:pPr>
    </w:p>
    <w:p w:rsidR="00765FD2" w:rsidRDefault="001B0399">
      <w:pPr>
        <w:spacing w:before="672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765FD2" w:rsidRDefault="001B0399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4.15pt;z-index:-252922880;mso-position-horizontal-relative:page" coordorigin="3208,124" coordsize="5883,5883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941;width:5814;height:3110" coordorigin="3217,941" coordsize="5814,3110" o:spt="100" adj="0,,0" path="m4001,1058r387,1094l3271,2466r-54,800l3379,4050,6151,3065r2460,l8848,2727r-2044,l6884,2638r-733,l5387,1809,4001,1058xm8611,3065r-2460,l8922,4050,8498,3225r113,-160xm9031,2466l6804,2727r2044,l9031,2466xm6746,941l6151,2638r733,l6951,2562r-495,l6746,941xm8300,1058l6456,2562r495,l8300,1058xe" fillcolor="#9bbb59" stroked="f">
              <v:stroke joinstyle="round"/>
              <v:formulas/>
              <v:path arrowok="t" o:connecttype="segments"/>
            </v:shape>
            <v:shape id="_x0000_s1034" style="position:absolute;left:3208;top:911;width:5850;height:5096" coordorigin="3209,911" coordsize="5850,5096" o:spt="100" adj="0,,0" path="m6577,5975r-51,7l6528,5997r13,9l6556,6005r14,-2l6580,5990r-3,-15xm6142,3095r-13,5l6526,5982r51,-7l6190,3155r-48,-60xm8028,5330r-42,33l7994,5370r10,3l8014,5372r9,-5l8030,5359r3,-10l8032,5339r-4,-9xm6183,3104r7,51l7986,5363r42,-33l6231,3121r-48,-17xm4354,2133l3264,2441r-11,3l3246,2453r-1,12l3209,2997r,360l3354,4055r1,7l3360,4070r7,3l3373,4077r9,1l3389,4074r84,-30l3406,4044r-35,-19l3399,4015,3244,3267r-2,l3242,3260r1,l3296,2492r-18,l3298,2469r61,l4396,2177r7,-2l4409,2170r2,-6l4413,2160r-50,l4354,2133xm6167,3043r2,1l6172,3046r4,7l6177,3054r54,67l8914,4074r9,4l8935,4076r12,-14l8899,4062r-30,-59l6167,3043xm8869,4003r30,59l8932,4025r-63,-22xm9052,2451r-44,l9034,2493r-60,7l8477,3210r-6,8l8471,3228r3,9l8869,4003r63,22l8899,4062r48,l8950,4059r1,-11l8946,4038,8537,3240r-17,l8522,3213r17,l9053,2482r5,-8l9059,2462r-6,-9l9052,2451xm3399,4015r-28,10l3406,4044r-7,-29xm6135,3042l3399,4015r7,29l3473,4044,6129,3100r-3,-24l6122,3072r,-13l6124,3057r,l6130,3045r4,-2l6135,3042xm3242,3260r,7l3243,3261r-1,-1xm3243,3261r-1,6l3244,3267r-1,-6xm3243,3260r-1,l3243,3261r,-1xm8522,3213r-2,27l8530,3227r-8,-14xm8530,3227r-10,13l8537,3240r-7,-13xm8539,3213r-17,l8530,3227r9,-14xm6151,3092r-9,3l6190,3155r-7,-51l6151,3092xm6177,3054r1,8l6183,3104r48,17l6177,3054xm6178,3062r-24,10l6147,3082r13,7l6151,3092r32,12l6178,3062xm6126,3076r3,24l6142,3095r-11,-13l6126,3076xm6140,3078r-9,4l6142,3095r9,-3l6142,3089r5,-7l6140,3078xm6147,3082r-5,7l6151,3092r9,-3l6147,3082xm6125,3069r1,7l6131,3082r9,-4l6125,3069xm6154,3072r-14,6l6147,3082r7,-10xm6152,3038r-2,l6146,3039r-6,2l6134,3043r-10,14l6125,3069r15,9l6154,3072r18,-24l6169,3044r-5,-2l6163,3041r-3,-1l6152,3038xm6124,3057r-2,2l6122,3072r4,4l6125,3069r-1,-12xm6172,3048r-18,24l6178,3062r-1,-8l6172,3048xm6134,3043r-4,2l6124,3057r,l6134,3043xm6169,3044r3,4l6177,3054r-1,-1l6172,3046r-3,-2xm6163,3041r1,1l6169,3044r-2,-1l6163,3041xm6146,3039r-4,1l6135,3042r-1,1l6141,3041r5,-2xm6159,3038r4,3l6167,3043r-3,-4l6159,3038xm6149,3036r-12,4l6135,3042r7,-2l6146,3039r4,-2l6149,3036xm6151,3036r-1,1l6160,3040r3,1l6159,3038r-8,-2xm6150,3037r-4,2l6150,3038r2,l6150,3037xm6158,3038r,l6159,3038r-1,xm8320,1040r-39,l8317,1078r-263,214l6784,2709r-8,8l6775,2729r5,10l6786,2748r10,6l6878,2745r-55,l6800,2700r70,-8l8321,1076r5,-9l8327,1057r-2,-9l8320,1040xm6870,2692r-70,8l6823,2745r47,-53xm9038,2439l6870,2692r-47,53l6878,2745,8974,2500r34,-49l9052,2451r-4,-7l9038,2439xm5371,1830r761,826l6138,2663r10,3l6156,2664r10,-2l6173,2656r3,-8l6183,2630r-57,l6141,2588,5444,1832r-69,l5371,1830xm6141,2588r-15,42l6170,2620r-29,-32xm6739,911r-13,9l6721,932,6141,2588r29,32l6126,2630r57,l6663,1257r57,-321l6773,936r1,-4l6766,918r-27,-7xm6773,936r-53,l6770,950r-107,307l6431,2558r-3,10l6433,2579r19,12l6464,2590r9,-7l6492,2567r-10,l6440,2542r55,-45l6772,946r1,-10xm6495,2497r-55,45l6482,2567r13,-70xm8302,1031r-10,1l8284,1037,6495,2497r-13,70l6492,2567,8054,1292r227,-252l8320,1040r-9,-7l8302,1031xm9008,2451r-34,49l9034,2493r-26,-42xm3298,2469r-20,23l3296,2486r2,-17xm3296,2486r-18,6l3296,2492r,-6xm3359,2469r-61,l3296,2486r63,-17xm4381,2126r-27,7l4363,2160r18,-34xm4408,2126r-27,l4363,2160r50,l4415,2157r1,-7l4414,2142r-6,-16xm4004,1029r-12,1l3976,1044r-3,12l3977,1066r377,1067l4381,2126r27,l4049,1113r-60,-33l4026,1049r15,l4014,1035r-10,-6xm5368,1826r3,4l5375,1832r-7,-6xm5438,1826r-70,l5375,1832r69,l5438,1826xm4041,1049r-15,l4049,1113r1322,717l5368,1826r70,l5406,1791r-1,-3l5402,1786r-2,-1l4041,1049xm8281,1040r-227,252l8317,1078r-36,-38xm6720,936r-57,321l6770,950r-50,-14xm4026,1049r-37,31l4049,1113r-23,-64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8"/>
        </w:rPr>
        <w:t>100%</w:t>
      </w:r>
    </w:p>
    <w:p w:rsidR="00765FD2" w:rsidRDefault="001B0399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lastRenderedPageBreak/>
        <w:t>2- Territorio</w:t>
      </w:r>
    </w:p>
    <w:p w:rsidR="00765FD2" w:rsidRDefault="00765FD2">
      <w:pPr>
        <w:rPr>
          <w:sz w:val="9"/>
        </w:rPr>
        <w:sectPr w:rsidR="00765FD2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765FD2" w:rsidRDefault="001B0399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765FD2" w:rsidRDefault="001B0399">
      <w:pPr>
        <w:spacing w:before="164"/>
        <w:ind w:left="2708" w:right="4265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765FD2" w:rsidRDefault="001B0399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765FD2" w:rsidRDefault="001B0399">
      <w:pPr>
        <w:spacing w:before="227"/>
        <w:ind w:left="2708" w:right="4265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765FD2" w:rsidRDefault="001B0399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765FD2" w:rsidRDefault="001B0399">
      <w:pPr>
        <w:spacing w:before="135"/>
        <w:ind w:left="2708" w:right="4265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765FD2" w:rsidRDefault="00765FD2">
      <w:pPr>
        <w:jc w:val="center"/>
        <w:rPr>
          <w:sz w:val="8"/>
        </w:rPr>
        <w:sectPr w:rsidR="00765FD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65FD2" w:rsidRDefault="00765FD2">
      <w:pPr>
        <w:pStyle w:val="Textoindependiente"/>
        <w:rPr>
          <w:b/>
          <w:sz w:val="10"/>
        </w:rPr>
      </w:pPr>
    </w:p>
    <w:p w:rsidR="00765FD2" w:rsidRDefault="00765FD2">
      <w:pPr>
        <w:pStyle w:val="Textoindependiente"/>
        <w:rPr>
          <w:b/>
          <w:sz w:val="10"/>
        </w:rPr>
      </w:pPr>
    </w:p>
    <w:p w:rsidR="00765FD2" w:rsidRDefault="00765FD2">
      <w:pPr>
        <w:pStyle w:val="Textoindependiente"/>
        <w:rPr>
          <w:b/>
          <w:sz w:val="10"/>
        </w:rPr>
      </w:pPr>
    </w:p>
    <w:p w:rsidR="00765FD2" w:rsidRDefault="00765FD2">
      <w:pPr>
        <w:pStyle w:val="Textoindependiente"/>
        <w:spacing w:before="6"/>
        <w:rPr>
          <w:b/>
          <w:sz w:val="9"/>
        </w:rPr>
      </w:pPr>
    </w:p>
    <w:p w:rsidR="00765FD2" w:rsidRDefault="001B0399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spacing w:before="3"/>
        <w:rPr>
          <w:sz w:val="13"/>
        </w:rPr>
      </w:pPr>
    </w:p>
    <w:p w:rsidR="00765FD2" w:rsidRDefault="001B0399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spacing w:before="10"/>
        <w:rPr>
          <w:sz w:val="11"/>
        </w:rPr>
      </w:pPr>
    </w:p>
    <w:p w:rsidR="00765FD2" w:rsidRDefault="001B0399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rPr>
          <w:sz w:val="10"/>
        </w:rPr>
      </w:pPr>
    </w:p>
    <w:p w:rsidR="00765FD2" w:rsidRDefault="001B0399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spacing w:before="11"/>
        <w:rPr>
          <w:sz w:val="13"/>
        </w:rPr>
      </w:pPr>
    </w:p>
    <w:p w:rsidR="00765FD2" w:rsidRDefault="001B0399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rPr>
          <w:sz w:val="14"/>
        </w:rPr>
      </w:pPr>
    </w:p>
    <w:p w:rsidR="00765FD2" w:rsidRDefault="001B0399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765FD2" w:rsidRDefault="001B0399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765FD2" w:rsidRDefault="001B0399">
      <w:pPr>
        <w:pStyle w:val="Textoindependiente"/>
        <w:rPr>
          <w:sz w:val="8"/>
        </w:rPr>
      </w:pPr>
      <w:r>
        <w:br w:type="column"/>
      </w:r>
    </w:p>
    <w:p w:rsidR="00765FD2" w:rsidRDefault="00765FD2">
      <w:pPr>
        <w:pStyle w:val="Textoindependiente"/>
        <w:rPr>
          <w:sz w:val="8"/>
        </w:rPr>
      </w:pPr>
    </w:p>
    <w:p w:rsidR="00765FD2" w:rsidRDefault="00765FD2">
      <w:pPr>
        <w:pStyle w:val="Textoindependiente"/>
        <w:rPr>
          <w:sz w:val="8"/>
        </w:rPr>
      </w:pPr>
    </w:p>
    <w:p w:rsidR="00765FD2" w:rsidRDefault="00765FD2">
      <w:pPr>
        <w:pStyle w:val="Textoindependiente"/>
        <w:rPr>
          <w:sz w:val="8"/>
        </w:rPr>
      </w:pPr>
    </w:p>
    <w:p w:rsidR="00765FD2" w:rsidRDefault="00765FD2">
      <w:pPr>
        <w:pStyle w:val="Textoindependiente"/>
        <w:spacing w:before="2"/>
        <w:rPr>
          <w:sz w:val="11"/>
        </w:rPr>
      </w:pPr>
    </w:p>
    <w:p w:rsidR="00765FD2" w:rsidRDefault="001B0399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765FD2" w:rsidRDefault="00765FD2">
      <w:pPr>
        <w:pStyle w:val="Textoindependiente"/>
        <w:rPr>
          <w:b/>
          <w:sz w:val="8"/>
        </w:rPr>
      </w:pPr>
    </w:p>
    <w:p w:rsidR="00765FD2" w:rsidRDefault="00765FD2">
      <w:pPr>
        <w:pStyle w:val="Textoindependiente"/>
        <w:rPr>
          <w:b/>
          <w:sz w:val="8"/>
        </w:rPr>
      </w:pPr>
    </w:p>
    <w:p w:rsidR="00765FD2" w:rsidRDefault="00765FD2">
      <w:pPr>
        <w:pStyle w:val="Textoindependiente"/>
        <w:rPr>
          <w:b/>
          <w:sz w:val="8"/>
        </w:rPr>
      </w:pPr>
    </w:p>
    <w:p w:rsidR="00765FD2" w:rsidRDefault="00765FD2">
      <w:pPr>
        <w:pStyle w:val="Textoindependiente"/>
        <w:rPr>
          <w:b/>
          <w:sz w:val="8"/>
        </w:rPr>
      </w:pPr>
    </w:p>
    <w:p w:rsidR="00765FD2" w:rsidRDefault="00765FD2">
      <w:pPr>
        <w:pStyle w:val="Textoindependiente"/>
        <w:spacing w:before="1"/>
        <w:rPr>
          <w:b/>
          <w:sz w:val="11"/>
        </w:rPr>
      </w:pPr>
    </w:p>
    <w:p w:rsidR="00765FD2" w:rsidRDefault="001B0399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765FD2" w:rsidRDefault="001B0399">
      <w:pPr>
        <w:pStyle w:val="Textoindependiente"/>
        <w:rPr>
          <w:b/>
          <w:sz w:val="10"/>
        </w:rPr>
      </w:pPr>
      <w:r>
        <w:br w:type="column"/>
      </w:r>
    </w:p>
    <w:p w:rsidR="00765FD2" w:rsidRDefault="00765FD2">
      <w:pPr>
        <w:pStyle w:val="Textoindependiente"/>
        <w:rPr>
          <w:b/>
          <w:sz w:val="10"/>
        </w:rPr>
      </w:pPr>
    </w:p>
    <w:p w:rsidR="00765FD2" w:rsidRDefault="00765FD2">
      <w:pPr>
        <w:pStyle w:val="Textoindependiente"/>
        <w:rPr>
          <w:b/>
          <w:sz w:val="10"/>
        </w:rPr>
      </w:pPr>
    </w:p>
    <w:p w:rsidR="00765FD2" w:rsidRDefault="00765FD2">
      <w:pPr>
        <w:pStyle w:val="Textoindependiente"/>
        <w:spacing w:before="6"/>
        <w:rPr>
          <w:b/>
          <w:sz w:val="9"/>
        </w:rPr>
      </w:pPr>
    </w:p>
    <w:p w:rsidR="00765FD2" w:rsidRDefault="001B0399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spacing w:before="7"/>
        <w:rPr>
          <w:sz w:val="8"/>
        </w:rPr>
      </w:pPr>
    </w:p>
    <w:p w:rsidR="00765FD2" w:rsidRDefault="001B0399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rPr>
          <w:sz w:val="10"/>
        </w:rPr>
      </w:pPr>
    </w:p>
    <w:p w:rsidR="00765FD2" w:rsidRDefault="001B0399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rPr>
          <w:sz w:val="10"/>
        </w:rPr>
      </w:pPr>
    </w:p>
    <w:p w:rsidR="00765FD2" w:rsidRDefault="001B0399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spacing w:before="10"/>
        <w:rPr>
          <w:sz w:val="13"/>
        </w:rPr>
      </w:pPr>
    </w:p>
    <w:p w:rsidR="00765FD2" w:rsidRDefault="001B0399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765FD2" w:rsidRDefault="00765FD2">
      <w:pPr>
        <w:pStyle w:val="Textoindependiente"/>
        <w:rPr>
          <w:sz w:val="10"/>
        </w:rPr>
      </w:pPr>
    </w:p>
    <w:p w:rsidR="00765FD2" w:rsidRDefault="00765FD2">
      <w:pPr>
        <w:pStyle w:val="Textoindependiente"/>
        <w:spacing w:before="10"/>
        <w:rPr>
          <w:sz w:val="12"/>
        </w:rPr>
      </w:pPr>
    </w:p>
    <w:p w:rsidR="00765FD2" w:rsidRDefault="001B0399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765FD2" w:rsidRDefault="001B0399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765FD2" w:rsidRDefault="00765FD2">
      <w:pPr>
        <w:rPr>
          <w:sz w:val="9"/>
        </w:rPr>
        <w:sectPr w:rsidR="00765FD2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spacing w:before="3"/>
        <w:rPr>
          <w:sz w:val="19"/>
        </w:rPr>
      </w:pPr>
    </w:p>
    <w:p w:rsidR="00765FD2" w:rsidRDefault="001B0399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20832;mso-position-horizontal-relative:page" from="464.15pt,8.1pt" to="477.95pt,8.1pt" strokecolor="#be4b48" strokeweight=".96pt">
            <w10:wrap anchorx="page"/>
          </v:line>
        </w:pic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rPr>
          <w:sz w:val="20"/>
        </w:rPr>
      </w:pPr>
    </w:p>
    <w:p w:rsidR="00765FD2" w:rsidRDefault="00765FD2">
      <w:pPr>
        <w:pStyle w:val="Textoindependiente"/>
        <w:spacing w:before="7"/>
        <w:rPr>
          <w:sz w:val="20"/>
        </w:rPr>
      </w:pPr>
    </w:p>
    <w:p w:rsidR="00765FD2" w:rsidRDefault="001B0399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765FD2" w:rsidRDefault="001B0399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765FD2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65FD2"/>
    <w:rsid w:val="001B0399"/>
    <w:rsid w:val="0076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93B32A57-412A-4D28-A908-A7FBFFB6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1098</Words>
  <Characters>6045</Characters>
  <Application>Microsoft Office Word</Application>
  <DocSecurity>0</DocSecurity>
  <Lines>50</Lines>
  <Paragraphs>14</Paragraphs>
  <ScaleCrop>false</ScaleCrop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2019-05-28T16:52:00Z</dcterms:created>
  <dcterms:modified xsi:type="dcterms:W3CDTF">2019-05-30T04:00:00Z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