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55" w:rsidRDefault="004C1AD3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  <w:lang w:val="es-MX" w:eastAsia="es-MX" w:bidi="ar-SA"/>
        </w:rPr>
        <w:drawing>
          <wp:inline distT="0" distB="0" distL="0" distR="0" wp14:anchorId="17ED30F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spacing w:before="1"/>
        <w:rPr>
          <w:sz w:val="28"/>
        </w:rPr>
      </w:pPr>
    </w:p>
    <w:p w:rsidR="00714F55" w:rsidRDefault="00D34FD7">
      <w:pPr>
        <w:spacing w:before="82"/>
        <w:ind w:left="3717" w:right="5015"/>
        <w:jc w:val="center"/>
        <w:rPr>
          <w:b/>
          <w:sz w:val="44"/>
        </w:rPr>
      </w:pPr>
      <w:r>
        <w:rPr>
          <w:b/>
          <w:color w:val="231F20"/>
          <w:sz w:val="44"/>
        </w:rPr>
        <w:t>Acuapa</w:t>
      </w:r>
    </w:p>
    <w:p w:rsidR="00714F55" w:rsidRDefault="00D34FD7">
      <w:pPr>
        <w:spacing w:before="16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HGOHUJ004</w:t>
      </w: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spacing w:before="7"/>
      </w:pPr>
    </w:p>
    <w:p w:rsidR="00714F55" w:rsidRDefault="00D34FD7">
      <w:pPr>
        <w:ind w:right="1415"/>
        <w:jc w:val="right"/>
        <w:rPr>
          <w:sz w:val="24"/>
        </w:rPr>
      </w:pPr>
      <w:r>
        <w:rPr>
          <w:color w:val="231F20"/>
          <w:sz w:val="24"/>
        </w:rPr>
        <w:t>Acuapa: 130280112</w:t>
      </w:r>
    </w:p>
    <w:p w:rsidR="00714F55" w:rsidRDefault="00714F55">
      <w:pPr>
        <w:jc w:val="right"/>
        <w:rPr>
          <w:sz w:val="24"/>
        </w:rPr>
        <w:sectPr w:rsidR="00714F5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D34FD7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14F55" w:rsidRDefault="00714F55">
      <w:pPr>
        <w:pStyle w:val="Textoindependiente"/>
        <w:rPr>
          <w:b/>
          <w:sz w:val="37"/>
        </w:rPr>
      </w:pPr>
    </w:p>
    <w:p w:rsidR="00714F55" w:rsidRDefault="00D34FD7">
      <w:pPr>
        <w:pStyle w:val="Ttulo1"/>
        <w:ind w:left="401" w:right="1697"/>
        <w:jc w:val="both"/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Acuapa</w:t>
      </w:r>
      <w:r>
        <w:t xml:space="preserve">, del Municipio de Huejutla de Reyes, con clave INEGI </w:t>
      </w:r>
      <w:r>
        <w:rPr>
          <w:b/>
        </w:rPr>
        <w:t xml:space="preserve">130280112,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HGOHUJ004</w:t>
      </w:r>
      <w:r>
        <w:t>.</w:t>
      </w:r>
    </w:p>
    <w:p w:rsidR="00714F55" w:rsidRDefault="00714F55">
      <w:pPr>
        <w:pStyle w:val="Textoindependiente"/>
        <w:spacing w:before="2"/>
        <w:rPr>
          <w:sz w:val="24"/>
        </w:rPr>
      </w:pPr>
    </w:p>
    <w:p w:rsidR="00714F55" w:rsidRDefault="00D34FD7">
      <w:pPr>
        <w:pStyle w:val="Textoindependiente"/>
        <w:ind w:left="401" w:right="1697"/>
        <w:jc w:val="both"/>
      </w:pPr>
      <w:r>
        <w:rPr>
          <w:b/>
        </w:rPr>
        <w:t xml:space="preserve">Acuapa </w:t>
      </w:r>
      <w:r>
        <w:t>mantiene una intensa vida social articulada por sus autoridades que son elegidas por un periodo de un año en Asambleas Generales, a las cuales son convocados los Faeneros. Asimismo, la asamblea cumple la función de Consejo y es la máxima autoridad.</w:t>
      </w:r>
    </w:p>
    <w:p w:rsidR="00714F55" w:rsidRDefault="00714F55">
      <w:pPr>
        <w:pStyle w:val="Textoindependiente"/>
        <w:spacing w:before="11"/>
        <w:rPr>
          <w:sz w:val="21"/>
        </w:rPr>
      </w:pPr>
    </w:p>
    <w:p w:rsidR="00714F55" w:rsidRDefault="00D34FD7">
      <w:pPr>
        <w:pStyle w:val="Textoindependiente"/>
        <w:ind w:left="401" w:right="1698"/>
        <w:jc w:val="both"/>
      </w:pPr>
      <w:r>
        <w:t>La comunidad tiene un significativo 93 por ciento de Hablantes de Lengua Indígena, con el náhuatl como la primera lengua.</w:t>
      </w:r>
    </w:p>
    <w:p w:rsidR="00714F55" w:rsidRDefault="00714F55">
      <w:pPr>
        <w:pStyle w:val="Textoindependiente"/>
        <w:spacing w:before="10"/>
        <w:rPr>
          <w:sz w:val="21"/>
        </w:rPr>
      </w:pPr>
    </w:p>
    <w:p w:rsidR="00714F55" w:rsidRDefault="00D34FD7">
      <w:pPr>
        <w:pStyle w:val="Textoindependiente"/>
        <w:spacing w:before="1"/>
        <w:ind w:left="401" w:right="1696"/>
        <w:jc w:val="both"/>
      </w:pPr>
      <w:r>
        <w:t>Sobre las prácticas culturales, se observa que la Fiesta Patronal, el Carnaval y Día de Muertos mantienen su carácter unificador. También se constató que otras ceremonias y ritos agrícolas se están dejando porque la agricultura ha tenido resultados poco satisfactorios aun cuando continúa como una de las actividades económicas principales en Acuapa.</w:t>
      </w:r>
    </w:p>
    <w:p w:rsidR="00714F55" w:rsidRDefault="00714F55">
      <w:pPr>
        <w:pStyle w:val="Textoindependiente"/>
        <w:spacing w:before="1"/>
      </w:pPr>
    </w:p>
    <w:p w:rsidR="00714F55" w:rsidRDefault="00D34FD7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Comitiva, aparentemente no han sucedido faltas que ameriten la intervención de las autoridades municipales.</w:t>
      </w:r>
    </w:p>
    <w:p w:rsidR="00714F55" w:rsidRDefault="00714F55">
      <w:pPr>
        <w:pStyle w:val="Textoindependiente"/>
        <w:spacing w:before="11"/>
        <w:rPr>
          <w:sz w:val="21"/>
        </w:rPr>
      </w:pPr>
    </w:p>
    <w:p w:rsidR="00714F55" w:rsidRDefault="00D34FD7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entre las “enfermedades culturales” se mencionan el espanto, susto y empacho, de igual manera se cuenta con curandera, sobador y partera.</w:t>
      </w:r>
    </w:p>
    <w:p w:rsidR="00714F55" w:rsidRDefault="00714F55">
      <w:pPr>
        <w:jc w:val="both"/>
        <w:sectPr w:rsidR="00714F55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714F55">
        <w:trPr>
          <w:trHeight w:val="759"/>
        </w:trPr>
        <w:tc>
          <w:tcPr>
            <w:tcW w:w="7544" w:type="dxa"/>
            <w:gridSpan w:val="3"/>
          </w:tcPr>
          <w:p w:rsidR="00714F55" w:rsidRDefault="00D34FD7">
            <w:pPr>
              <w:pStyle w:val="TableParagraph"/>
              <w:spacing w:line="193" w:lineRule="exact"/>
              <w:ind w:left="2750" w:right="269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Acuapa, Huejutla de Reyes</w:t>
            </w:r>
          </w:p>
        </w:tc>
      </w:tr>
      <w:tr w:rsidR="00714F55">
        <w:trPr>
          <w:trHeight w:val="741"/>
        </w:trPr>
        <w:tc>
          <w:tcPr>
            <w:tcW w:w="4640" w:type="dxa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14F55" w:rsidRDefault="00714F55">
            <w:pPr>
              <w:pStyle w:val="TableParagraph"/>
              <w:rPr>
                <w:sz w:val="16"/>
              </w:rPr>
            </w:pPr>
          </w:p>
          <w:p w:rsidR="00714F55" w:rsidRDefault="00714F55">
            <w:pPr>
              <w:pStyle w:val="TableParagraph"/>
              <w:rPr>
                <w:sz w:val="16"/>
              </w:rPr>
            </w:pPr>
          </w:p>
          <w:p w:rsidR="00714F55" w:rsidRDefault="00714F55">
            <w:pPr>
              <w:pStyle w:val="TableParagraph"/>
              <w:spacing w:before="8"/>
              <w:rPr>
                <w:sz w:val="16"/>
              </w:rPr>
            </w:pPr>
          </w:p>
          <w:p w:rsidR="00714F55" w:rsidRDefault="00D34FD7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714F55">
        <w:trPr>
          <w:trHeight w:val="189"/>
        </w:trPr>
        <w:tc>
          <w:tcPr>
            <w:tcW w:w="4640" w:type="dxa"/>
          </w:tcPr>
          <w:p w:rsidR="00714F55" w:rsidRDefault="00714F55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714F55" w:rsidRDefault="00D34FD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714F55" w:rsidRDefault="00D34FD7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HGOHUJ004</w:t>
            </w:r>
          </w:p>
        </w:tc>
      </w:tr>
      <w:tr w:rsidR="00714F55">
        <w:trPr>
          <w:trHeight w:val="369"/>
        </w:trPr>
        <w:tc>
          <w:tcPr>
            <w:tcW w:w="4640" w:type="dxa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14F55" w:rsidRDefault="00D34FD7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714F55" w:rsidRDefault="00D34FD7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130280112</w:t>
            </w:r>
          </w:p>
        </w:tc>
      </w:tr>
      <w:tr w:rsidR="00714F55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714F55" w:rsidRDefault="00D34FD7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714F55" w:rsidRDefault="00D34FD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714F55" w:rsidRDefault="00D34FD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714F55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714F55" w:rsidRDefault="00D34FD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714F55" w:rsidRDefault="00D34FD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714F55">
        <w:trPr>
          <w:trHeight w:val="185"/>
        </w:trPr>
        <w:tc>
          <w:tcPr>
            <w:tcW w:w="4640" w:type="dxa"/>
            <w:shd w:val="clear" w:color="auto" w:fill="92D050"/>
          </w:tcPr>
          <w:p w:rsidR="00714F55" w:rsidRDefault="00D34FD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714F55" w:rsidRDefault="00D34FD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714F55" w:rsidRDefault="00D34FD7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92.6%</w:t>
            </w:r>
          </w:p>
        </w:tc>
      </w:tr>
      <w:tr w:rsidR="00714F55">
        <w:trPr>
          <w:trHeight w:val="184"/>
        </w:trPr>
        <w:tc>
          <w:tcPr>
            <w:tcW w:w="4640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714F55">
        <w:trPr>
          <w:trHeight w:val="184"/>
        </w:trPr>
        <w:tc>
          <w:tcPr>
            <w:tcW w:w="4640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714F55">
        <w:trPr>
          <w:trHeight w:val="184"/>
        </w:trPr>
        <w:tc>
          <w:tcPr>
            <w:tcW w:w="4640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14F55">
        <w:trPr>
          <w:trHeight w:val="184"/>
        </w:trPr>
        <w:tc>
          <w:tcPr>
            <w:tcW w:w="4640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14F55">
        <w:trPr>
          <w:trHeight w:val="185"/>
        </w:trPr>
        <w:tc>
          <w:tcPr>
            <w:tcW w:w="4640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>6- Autoadscripción</w:t>
            </w:r>
          </w:p>
        </w:tc>
        <w:tc>
          <w:tcPr>
            <w:tcW w:w="1568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14F55">
        <w:trPr>
          <w:trHeight w:val="185"/>
        </w:trPr>
        <w:tc>
          <w:tcPr>
            <w:tcW w:w="4640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714F55">
        <w:trPr>
          <w:trHeight w:val="184"/>
        </w:trPr>
        <w:tc>
          <w:tcPr>
            <w:tcW w:w="4640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14F55">
        <w:trPr>
          <w:trHeight w:val="184"/>
        </w:trPr>
        <w:tc>
          <w:tcPr>
            <w:tcW w:w="4640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14F55">
        <w:trPr>
          <w:trHeight w:val="184"/>
        </w:trPr>
        <w:tc>
          <w:tcPr>
            <w:tcW w:w="4640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14F55">
        <w:trPr>
          <w:trHeight w:val="184"/>
        </w:trPr>
        <w:tc>
          <w:tcPr>
            <w:tcW w:w="4640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14F55">
        <w:trPr>
          <w:trHeight w:val="184"/>
        </w:trPr>
        <w:tc>
          <w:tcPr>
            <w:tcW w:w="4640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14F55">
        <w:trPr>
          <w:trHeight w:val="184"/>
        </w:trPr>
        <w:tc>
          <w:tcPr>
            <w:tcW w:w="4640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14F55">
        <w:trPr>
          <w:trHeight w:val="185"/>
        </w:trPr>
        <w:tc>
          <w:tcPr>
            <w:tcW w:w="4640" w:type="dxa"/>
            <w:shd w:val="clear" w:color="auto" w:fill="FFFF00"/>
          </w:tcPr>
          <w:p w:rsidR="00714F55" w:rsidRDefault="00D34FD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714F55" w:rsidRDefault="00D34FD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14F55" w:rsidRDefault="00D34FD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14F55">
        <w:trPr>
          <w:trHeight w:val="184"/>
        </w:trPr>
        <w:tc>
          <w:tcPr>
            <w:tcW w:w="4640" w:type="dxa"/>
            <w:shd w:val="clear" w:color="auto" w:fill="FFFF00"/>
          </w:tcPr>
          <w:p w:rsidR="00714F55" w:rsidRDefault="00D34FD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14F55">
        <w:trPr>
          <w:trHeight w:val="184"/>
        </w:trPr>
        <w:tc>
          <w:tcPr>
            <w:tcW w:w="4640" w:type="dxa"/>
            <w:shd w:val="clear" w:color="auto" w:fill="FFFF00"/>
          </w:tcPr>
          <w:p w:rsidR="00714F55" w:rsidRDefault="00D34FD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14F55">
        <w:trPr>
          <w:trHeight w:val="184"/>
        </w:trPr>
        <w:tc>
          <w:tcPr>
            <w:tcW w:w="4640" w:type="dxa"/>
            <w:shd w:val="clear" w:color="auto" w:fill="FFFF00"/>
          </w:tcPr>
          <w:p w:rsidR="00714F55" w:rsidRDefault="00D34FD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14F55">
        <w:trPr>
          <w:trHeight w:val="185"/>
        </w:trPr>
        <w:tc>
          <w:tcPr>
            <w:tcW w:w="4640" w:type="dxa"/>
            <w:shd w:val="clear" w:color="auto" w:fill="F9BE8F"/>
          </w:tcPr>
          <w:p w:rsidR="00714F55" w:rsidRDefault="00D34FD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714F55" w:rsidRDefault="00D34FD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14F55" w:rsidRDefault="00D34FD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14F55">
        <w:trPr>
          <w:trHeight w:val="184"/>
        </w:trPr>
        <w:tc>
          <w:tcPr>
            <w:tcW w:w="4640" w:type="dxa"/>
            <w:shd w:val="clear" w:color="auto" w:fill="F9BE8F"/>
          </w:tcPr>
          <w:p w:rsidR="00714F55" w:rsidRDefault="00D34FD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14F55">
        <w:trPr>
          <w:trHeight w:val="184"/>
        </w:trPr>
        <w:tc>
          <w:tcPr>
            <w:tcW w:w="4640" w:type="dxa"/>
            <w:shd w:val="clear" w:color="auto" w:fill="F9BE8F"/>
          </w:tcPr>
          <w:p w:rsidR="00714F55" w:rsidRDefault="00D34FD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68.0%</w:t>
            </w:r>
          </w:p>
        </w:tc>
      </w:tr>
      <w:tr w:rsidR="00714F55">
        <w:trPr>
          <w:trHeight w:val="184"/>
        </w:trPr>
        <w:tc>
          <w:tcPr>
            <w:tcW w:w="4640" w:type="dxa"/>
            <w:shd w:val="clear" w:color="auto" w:fill="F9BE8F"/>
          </w:tcPr>
          <w:p w:rsidR="00714F55" w:rsidRDefault="00D34FD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714F55" w:rsidRDefault="00D34FD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14F55" w:rsidRDefault="00D34FD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14F55">
        <w:trPr>
          <w:trHeight w:val="187"/>
        </w:trPr>
        <w:tc>
          <w:tcPr>
            <w:tcW w:w="4640" w:type="dxa"/>
            <w:shd w:val="clear" w:color="auto" w:fill="DCE6F0"/>
          </w:tcPr>
          <w:p w:rsidR="00714F55" w:rsidRDefault="00D34FD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714F55" w:rsidRDefault="00D34FD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714F55" w:rsidRDefault="00D34FD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14F55">
        <w:trPr>
          <w:trHeight w:val="3141"/>
        </w:trPr>
        <w:tc>
          <w:tcPr>
            <w:tcW w:w="4640" w:type="dxa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D34FD7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</w:tc>
      </w:tr>
      <w:tr w:rsidR="00714F55">
        <w:trPr>
          <w:trHeight w:val="185"/>
        </w:trPr>
        <w:tc>
          <w:tcPr>
            <w:tcW w:w="7544" w:type="dxa"/>
            <w:gridSpan w:val="3"/>
          </w:tcPr>
          <w:p w:rsidR="00714F55" w:rsidRDefault="00D34FD7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Elaboración: Universidad Autónoma del Estado de Hidalgo con datos del Catálogo de Comuniades Indígenas del Estado de Hidalgo.</w:t>
            </w:r>
          </w:p>
        </w:tc>
      </w:tr>
      <w:tr w:rsidR="00714F55">
        <w:trPr>
          <w:trHeight w:val="164"/>
        </w:trPr>
        <w:tc>
          <w:tcPr>
            <w:tcW w:w="4640" w:type="dxa"/>
          </w:tcPr>
          <w:p w:rsidR="00714F55" w:rsidRDefault="00D34FD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714F55" w:rsidRDefault="00714F55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714F55" w:rsidRDefault="00714F55">
            <w:pPr>
              <w:pStyle w:val="TableParagraph"/>
              <w:rPr>
                <w:sz w:val="10"/>
              </w:rPr>
            </w:pPr>
          </w:p>
        </w:tc>
      </w:tr>
    </w:tbl>
    <w:p w:rsidR="00714F55" w:rsidRDefault="00714F55">
      <w:pPr>
        <w:rPr>
          <w:sz w:val="10"/>
        </w:rPr>
        <w:sectPr w:rsidR="00714F55">
          <w:pgSz w:w="11910" w:h="16840"/>
          <w:pgMar w:top="1600" w:right="0" w:bottom="280" w:left="1680" w:header="720" w:footer="720" w:gutter="0"/>
          <w:cols w:space="720"/>
        </w:sectPr>
      </w:pPr>
    </w:p>
    <w:p w:rsidR="00714F55" w:rsidRDefault="004C1AD3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714F55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14F55" w:rsidRDefault="00714F5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14F55" w:rsidRDefault="00D34FD7">
            <w:pPr>
              <w:pStyle w:val="TableParagraph"/>
              <w:spacing w:line="193" w:lineRule="exact"/>
              <w:ind w:left="5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Acuapa,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14F55" w:rsidRDefault="00714F55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4F55" w:rsidRDefault="00714F55">
            <w:pPr>
              <w:pStyle w:val="TableParagraph"/>
              <w:rPr>
                <w:sz w:val="12"/>
              </w:rPr>
            </w:pPr>
          </w:p>
        </w:tc>
      </w:tr>
      <w:tr w:rsidR="00714F55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14F55" w:rsidRDefault="00714F5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14F55" w:rsidRDefault="00714F5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14F55" w:rsidRDefault="00D34FD7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4F55" w:rsidRDefault="00D34FD7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HGOHUJ004</w:t>
            </w:r>
          </w:p>
        </w:tc>
      </w:tr>
      <w:tr w:rsidR="00714F55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14F55" w:rsidRDefault="00714F5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14F55" w:rsidRDefault="00714F5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14F55" w:rsidRDefault="00D34FD7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4F55" w:rsidRDefault="00D34FD7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130280112</w:t>
            </w:r>
          </w:p>
        </w:tc>
      </w:tr>
      <w:tr w:rsidR="00714F55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14F55" w:rsidRDefault="00714F55">
            <w:pPr>
              <w:pStyle w:val="TableParagraph"/>
              <w:spacing w:before="9"/>
              <w:rPr>
                <w:sz w:val="10"/>
              </w:rPr>
            </w:pPr>
          </w:p>
          <w:p w:rsidR="00714F55" w:rsidRDefault="00D34FD7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14F55" w:rsidRDefault="00714F55">
            <w:pPr>
              <w:pStyle w:val="TableParagraph"/>
              <w:spacing w:before="9"/>
              <w:rPr>
                <w:sz w:val="10"/>
              </w:rPr>
            </w:pPr>
          </w:p>
          <w:p w:rsidR="00714F55" w:rsidRDefault="00D34FD7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14F55" w:rsidRDefault="00D34FD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14F55" w:rsidRDefault="00714F55">
            <w:pPr>
              <w:pStyle w:val="TableParagraph"/>
              <w:spacing w:before="9"/>
              <w:rPr>
                <w:sz w:val="10"/>
              </w:rPr>
            </w:pPr>
          </w:p>
          <w:p w:rsidR="00714F55" w:rsidRDefault="00D34FD7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714F55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714F55" w:rsidRDefault="00D34FD7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714F55" w:rsidRDefault="00D34FD7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714F55" w:rsidRDefault="00D34FD7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714F55" w:rsidRDefault="00D34FD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92.6%</w:t>
            </w:r>
          </w:p>
        </w:tc>
      </w:tr>
      <w:tr w:rsidR="00714F5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spacing w:before="11"/>
              <w:rPr>
                <w:sz w:val="20"/>
              </w:rPr>
            </w:pPr>
          </w:p>
          <w:p w:rsidR="00714F55" w:rsidRDefault="00D34FD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Asentamiento y pertenencia a región geocultural (30%)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D34FD7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D34FD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spacing w:before="2"/>
              <w:rPr>
                <w:sz w:val="11"/>
              </w:rPr>
            </w:pPr>
          </w:p>
          <w:p w:rsidR="00714F55" w:rsidRDefault="00D34FD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714F5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14F55" w:rsidRDefault="00D34FD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14F5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D34FD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spacing w:before="2"/>
              <w:rPr>
                <w:sz w:val="11"/>
              </w:rPr>
            </w:pPr>
          </w:p>
          <w:p w:rsidR="00714F55" w:rsidRDefault="00D34FD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6- Autoadscripción</w:t>
            </w: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14F55" w:rsidRDefault="00D34FD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14F5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14F55" w:rsidRDefault="00D34FD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14F55" w:rsidRDefault="00714F55">
            <w:pPr>
              <w:pStyle w:val="TableParagraph"/>
              <w:rPr>
                <w:sz w:val="17"/>
              </w:rPr>
            </w:pPr>
          </w:p>
          <w:p w:rsidR="00714F55" w:rsidRDefault="00D34FD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14F55" w:rsidRDefault="00D34FD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14F5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D34FD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spacing w:before="2"/>
              <w:rPr>
                <w:sz w:val="11"/>
              </w:rPr>
            </w:pPr>
          </w:p>
          <w:p w:rsidR="00714F55" w:rsidRDefault="00D34FD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14F55" w:rsidRDefault="00D34FD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14F5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D34FD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spacing w:before="2"/>
              <w:rPr>
                <w:sz w:val="11"/>
              </w:rPr>
            </w:pPr>
          </w:p>
          <w:p w:rsidR="00714F55" w:rsidRDefault="00D34FD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14F5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14F55" w:rsidRDefault="00714F55">
            <w:pPr>
              <w:pStyle w:val="TableParagraph"/>
              <w:spacing w:before="10"/>
              <w:rPr>
                <w:sz w:val="17"/>
              </w:rPr>
            </w:pPr>
          </w:p>
          <w:p w:rsidR="00714F55" w:rsidRDefault="00D34FD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spacing w:before="2"/>
              <w:rPr>
                <w:sz w:val="11"/>
              </w:rPr>
            </w:pPr>
          </w:p>
          <w:p w:rsidR="00714F55" w:rsidRDefault="00D34FD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shd w:val="clear" w:color="auto" w:fill="92D050"/>
          </w:tcPr>
          <w:p w:rsidR="00714F55" w:rsidRDefault="00D34FD7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714F55" w:rsidRDefault="00D34FD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14F5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14F55" w:rsidRDefault="00714F55">
            <w:pPr>
              <w:pStyle w:val="TableParagraph"/>
              <w:spacing w:before="10"/>
              <w:rPr>
                <w:sz w:val="17"/>
              </w:rPr>
            </w:pPr>
          </w:p>
          <w:p w:rsidR="00714F55" w:rsidRDefault="00D34FD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spacing w:before="2"/>
              <w:rPr>
                <w:sz w:val="11"/>
              </w:rPr>
            </w:pPr>
          </w:p>
          <w:p w:rsidR="00714F55" w:rsidRDefault="00D34FD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shd w:val="clear" w:color="auto" w:fill="FFFF00"/>
          </w:tcPr>
          <w:p w:rsidR="00714F55" w:rsidRDefault="00D34FD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714F55" w:rsidRDefault="00D34FD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14F55">
        <w:trPr>
          <w:trHeight w:val="169"/>
        </w:trPr>
        <w:tc>
          <w:tcPr>
            <w:tcW w:w="2426" w:type="dxa"/>
            <w:shd w:val="clear" w:color="auto" w:fill="FFFF00"/>
          </w:tcPr>
          <w:p w:rsidR="00714F55" w:rsidRDefault="00D34FD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14F55" w:rsidRDefault="00D34FD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14F5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D34FD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spacing w:before="2"/>
              <w:rPr>
                <w:sz w:val="11"/>
              </w:rPr>
            </w:pPr>
          </w:p>
          <w:p w:rsidR="00714F55" w:rsidRDefault="00D34FD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shd w:val="clear" w:color="auto" w:fill="F9BE8F"/>
          </w:tcPr>
          <w:p w:rsidR="00714F55" w:rsidRDefault="00D34FD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14F55" w:rsidRDefault="00D34FD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14F55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D34FD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714F55" w:rsidRDefault="00D34FD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Artesania A (25%)</w:t>
            </w:r>
          </w:p>
        </w:tc>
        <w:tc>
          <w:tcPr>
            <w:tcW w:w="894" w:type="dxa"/>
            <w:shd w:val="clear" w:color="auto" w:fill="F9BE8F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spacing w:before="2"/>
              <w:rPr>
                <w:sz w:val="11"/>
              </w:rPr>
            </w:pPr>
          </w:p>
          <w:p w:rsidR="00714F55" w:rsidRDefault="00D34FD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Artesania B (25%)</w:t>
            </w:r>
          </w:p>
        </w:tc>
        <w:tc>
          <w:tcPr>
            <w:tcW w:w="894" w:type="dxa"/>
            <w:shd w:val="clear" w:color="auto" w:fill="F9BE8F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Artesania C (25%)</w:t>
            </w:r>
          </w:p>
        </w:tc>
        <w:tc>
          <w:tcPr>
            <w:tcW w:w="894" w:type="dxa"/>
            <w:shd w:val="clear" w:color="auto" w:fill="F9BE8F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Artesania D (25%)</w:t>
            </w:r>
          </w:p>
        </w:tc>
        <w:tc>
          <w:tcPr>
            <w:tcW w:w="894" w:type="dxa"/>
            <w:shd w:val="clear" w:color="auto" w:fill="F9BE8F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spacing w:before="11"/>
              <w:rPr>
                <w:sz w:val="20"/>
              </w:rPr>
            </w:pPr>
          </w:p>
          <w:p w:rsidR="00714F55" w:rsidRDefault="00D34FD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18%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D34FD7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68.0%</w:t>
            </w: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shd w:val="clear" w:color="auto" w:fill="F9BE8F"/>
          </w:tcPr>
          <w:p w:rsidR="00714F55" w:rsidRDefault="00D34FD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14F55" w:rsidRDefault="00D34FD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14F55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D34FD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714F55" w:rsidRDefault="00714F55">
            <w:pPr>
              <w:pStyle w:val="TableParagraph"/>
              <w:rPr>
                <w:sz w:val="14"/>
              </w:rPr>
            </w:pPr>
          </w:p>
          <w:p w:rsidR="00714F55" w:rsidRDefault="00714F55">
            <w:pPr>
              <w:pStyle w:val="TableParagraph"/>
              <w:spacing w:before="2"/>
              <w:rPr>
                <w:sz w:val="11"/>
              </w:rPr>
            </w:pPr>
          </w:p>
          <w:p w:rsidR="00714F55" w:rsidRDefault="00D34FD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14F55" w:rsidRDefault="00D34FD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714F55" w:rsidRDefault="00D34FD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14F55" w:rsidRDefault="00714F55">
            <w:pPr>
              <w:rPr>
                <w:sz w:val="2"/>
                <w:szCs w:val="2"/>
              </w:rPr>
            </w:pPr>
          </w:p>
        </w:tc>
      </w:tr>
      <w:tr w:rsidR="00714F55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714F55" w:rsidRDefault="00D34FD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714F55" w:rsidRDefault="00714F55">
      <w:pPr>
        <w:spacing w:line="107" w:lineRule="exact"/>
        <w:rPr>
          <w:sz w:val="11"/>
        </w:rPr>
        <w:sectPr w:rsidR="00714F55">
          <w:pgSz w:w="11910" w:h="16840"/>
          <w:pgMar w:top="1600" w:right="0" w:bottom="280" w:left="1680" w:header="720" w:footer="720" w:gutter="0"/>
          <w:cols w:space="720"/>
        </w:sect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10"/>
        </w:rPr>
      </w:pPr>
    </w:p>
    <w:p w:rsidR="00714F55" w:rsidRDefault="00714F55">
      <w:pPr>
        <w:pStyle w:val="Textoindependiente"/>
        <w:spacing w:before="3"/>
        <w:rPr>
          <w:sz w:val="9"/>
        </w:rPr>
      </w:pPr>
    </w:p>
    <w:p w:rsidR="00714F55" w:rsidRDefault="004C1AD3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651;width:5447;height:5281" coordorigin="3231,-2650" coordsize="5447,5281" o:spt="100" adj="0,,0" path="m8284,-99r-2304,l6355,2630,6528,1164r1871,l8575,824,8178,51,8284,-99xm8399,1164r-1871,l7718,2038r512,-548l8399,1164xm3966,-1979r350,1018l5305,-239,3231,89,4682,362,3729,1490,5980,-99r2304,l8677,-660r-219,-616l5264,-1276,3966,-1979xm5980,-2650r-716,1374l8458,-1276r-32,-91l8157,-1747r-1176,l6611,-2354r-631,-296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651;width:5447;height:5281" coordorigin="3231,-2650" coordsize="5447,5281" path="m5980,-2650r631,296l6981,-1747r1012,-232l8426,-1367r251,707l8178,51r397,773l8230,1490r-512,548l6528,1164,6355,2630,5980,-99,5431,1164,5980,-99,3729,1490,4682,362,3231,89,5305,-239,4316,-961,3966,-1979r1298,703l5980,-265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3871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714F55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714F55" w:rsidRDefault="00D34FD7">
                        <w:pPr>
                          <w:pStyle w:val="TableParagraph"/>
                          <w:spacing w:line="193" w:lineRule="exact"/>
                          <w:ind w:left="30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Acuapa,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14F55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714F55" w:rsidRDefault="00714F5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14F55" w:rsidRDefault="00714F5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HGOHUJ004</w:t>
                        </w:r>
                      </w:p>
                    </w:tc>
                  </w:tr>
                  <w:tr w:rsidR="00714F55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714F55" w:rsidRDefault="00D34FD7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714F55" w:rsidRDefault="00D34FD7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14F55" w:rsidRDefault="00714F55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714F55" w:rsidRDefault="00714F55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6- Autoads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714F55" w:rsidRDefault="00D34FD7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714F55" w:rsidRDefault="00D34FD7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714F55" w:rsidRDefault="00D34FD7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14F55" w:rsidRDefault="00D34FD7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130280112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Costumbres para resolver su conflictos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714F55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4F55" w:rsidRDefault="00714F55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714F55" w:rsidRDefault="00D34FD7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14F55" w:rsidRDefault="00714F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14F55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714F55" w:rsidRDefault="00D34FD7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 w:rsidR="00714F55" w:rsidRDefault="00714F5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D34FD7">
        <w:rPr>
          <w:w w:val="109"/>
          <w:sz w:val="8"/>
        </w:rPr>
        <w:t>s</w:t>
      </w: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714F55">
      <w:pPr>
        <w:pStyle w:val="Textoindependiente"/>
        <w:rPr>
          <w:sz w:val="20"/>
        </w:rPr>
      </w:pPr>
    </w:p>
    <w:p w:rsidR="00714F55" w:rsidRDefault="004C1AD3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714F55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4F55"/>
    <w:rsid w:val="004C1AD3"/>
    <w:rsid w:val="00714F55"/>
    <w:rsid w:val="00D3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7474746A-C35B-4DD9-8787-25599675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970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3</cp:revision>
  <dcterms:created xsi:type="dcterms:W3CDTF">2019-05-28T17:01:00Z</dcterms:created>
  <dcterms:modified xsi:type="dcterms:W3CDTF">2019-05-29T01:29:00Z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