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D8" w:rsidRDefault="005B509A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249515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spacing w:before="1"/>
        <w:rPr>
          <w:sz w:val="28"/>
        </w:rPr>
      </w:pPr>
    </w:p>
    <w:p w:rsidR="007D10D8" w:rsidRDefault="005B509A">
      <w:pPr>
        <w:spacing w:before="82" w:line="490" w:lineRule="exact"/>
        <w:ind w:left="3717" w:right="5015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Cacateco</w:t>
      </w:r>
      <w:proofErr w:type="spellEnd"/>
    </w:p>
    <w:p w:rsidR="007D10D8" w:rsidRDefault="005B509A">
      <w:pPr>
        <w:spacing w:line="260" w:lineRule="exact"/>
        <w:ind w:left="3717" w:right="5015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HGOHUJ021</w:t>
      </w: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spacing w:before="10"/>
        <w:rPr>
          <w:sz w:val="18"/>
        </w:rPr>
      </w:pPr>
    </w:p>
    <w:p w:rsidR="007D10D8" w:rsidRDefault="005B509A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Cacateco</w:t>
      </w:r>
      <w:proofErr w:type="spellEnd"/>
      <w:r>
        <w:rPr>
          <w:color w:val="231F20"/>
          <w:sz w:val="24"/>
        </w:rPr>
        <w:t>: 130280017</w:t>
      </w:r>
    </w:p>
    <w:p w:rsidR="007D10D8" w:rsidRDefault="007D10D8">
      <w:pPr>
        <w:jc w:val="right"/>
        <w:rPr>
          <w:sz w:val="24"/>
        </w:rPr>
        <w:sectPr w:rsidR="007D10D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5B509A">
      <w:pPr>
        <w:spacing w:before="218"/>
        <w:ind w:left="3717" w:right="501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D10D8" w:rsidRDefault="007D10D8">
      <w:pPr>
        <w:pStyle w:val="Textoindependiente"/>
        <w:rPr>
          <w:b/>
          <w:sz w:val="37"/>
        </w:rPr>
      </w:pPr>
    </w:p>
    <w:p w:rsidR="007D10D8" w:rsidRDefault="005B509A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Cacateco</w:t>
      </w:r>
      <w:proofErr w:type="spellEnd"/>
      <w:r>
        <w:t>, del Municipio de Huejutla de Reyes,</w:t>
      </w:r>
      <w:r>
        <w:t xml:space="preserve"> con clave INEGI </w:t>
      </w:r>
      <w:r>
        <w:rPr>
          <w:b/>
        </w:rPr>
        <w:t>130280017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HGOHUJ021.</w:t>
      </w:r>
    </w:p>
    <w:p w:rsidR="007D10D8" w:rsidRDefault="007D10D8">
      <w:pPr>
        <w:pStyle w:val="Textoindependiente"/>
        <w:spacing w:before="2"/>
        <w:rPr>
          <w:b/>
          <w:sz w:val="24"/>
        </w:rPr>
      </w:pPr>
    </w:p>
    <w:p w:rsidR="007D10D8" w:rsidRDefault="005B509A">
      <w:pPr>
        <w:pStyle w:val="Textoindependiente"/>
        <w:ind w:left="401" w:right="1695"/>
        <w:jc w:val="both"/>
      </w:pPr>
      <w:proofErr w:type="spellStart"/>
      <w:r>
        <w:rPr>
          <w:b/>
        </w:rPr>
        <w:t>Cacateco</w:t>
      </w:r>
      <w:proofErr w:type="spellEnd"/>
      <w:r>
        <w:rPr>
          <w:b/>
        </w:rPr>
        <w:t xml:space="preserve"> </w:t>
      </w:r>
      <w:r>
        <w:t>mantiene una intensa vida social que e</w:t>
      </w:r>
      <w:r>
        <w:t>s articulada por sus autoridades las cuales son electas por un periodo de un año en Asambleas Generales, a las cuales son convocados todos los vecinos. Su autoridad máxima es la Asamblea que cumple como Consejo y la cual está integrada por el Delegado y ve</w:t>
      </w:r>
      <w:r>
        <w:t>cinos de la</w:t>
      </w:r>
      <w:r>
        <w:rPr>
          <w:spacing w:val="-3"/>
        </w:rPr>
        <w:t xml:space="preserve"> </w:t>
      </w:r>
      <w:r>
        <w:t>comunidad.</w:t>
      </w:r>
    </w:p>
    <w:p w:rsidR="007D10D8" w:rsidRDefault="007D10D8">
      <w:pPr>
        <w:pStyle w:val="Textoindependiente"/>
        <w:spacing w:before="11"/>
        <w:rPr>
          <w:sz w:val="23"/>
        </w:rPr>
      </w:pPr>
    </w:p>
    <w:p w:rsidR="007D10D8" w:rsidRDefault="005B509A">
      <w:pPr>
        <w:pStyle w:val="Textoindependiente"/>
        <w:ind w:left="401" w:right="1697"/>
        <w:jc w:val="both"/>
      </w:pPr>
      <w:r>
        <w:t>Esta comunidad tiene un significativo 85 por ciento de Hablantes de Lengua Indígena, con el náhuatl como la primera lengua en la comunidad.</w:t>
      </w:r>
    </w:p>
    <w:p w:rsidR="007D10D8" w:rsidRDefault="007D10D8">
      <w:pPr>
        <w:pStyle w:val="Textoindependiente"/>
        <w:spacing w:before="11"/>
        <w:rPr>
          <w:sz w:val="21"/>
        </w:rPr>
      </w:pPr>
    </w:p>
    <w:p w:rsidR="007D10D8" w:rsidRDefault="005B509A">
      <w:pPr>
        <w:pStyle w:val="Textoindependiente"/>
        <w:ind w:left="401" w:right="1697"/>
        <w:jc w:val="both"/>
      </w:pPr>
      <w:r>
        <w:t xml:space="preserve">Sobre las prácticas culturales, se observa que la Fiestas Patronal se celebra, conservando su carácter unificador, sin embargo, se observa la pérdida de la celebración del Carnaval y la disminución de las ceremonias y ritos agrícolas porque la agricultura </w:t>
      </w:r>
      <w:r>
        <w:t>ya no es rentable como en tiempos</w:t>
      </w:r>
      <w:r>
        <w:rPr>
          <w:spacing w:val="-12"/>
        </w:rPr>
        <w:t xml:space="preserve"> </w:t>
      </w:r>
      <w:r>
        <w:t>pasados.</w:t>
      </w:r>
    </w:p>
    <w:p w:rsidR="007D10D8" w:rsidRDefault="007D10D8">
      <w:pPr>
        <w:pStyle w:val="Textoindependiente"/>
      </w:pPr>
    </w:p>
    <w:p w:rsidR="007D10D8" w:rsidRDefault="005B509A">
      <w:pPr>
        <w:pStyle w:val="Textoindependiente"/>
        <w:spacing w:before="1"/>
        <w:ind w:left="401" w:right="1697"/>
        <w:jc w:val="both"/>
      </w:pPr>
      <w:r>
        <w:t>La impartición de justicia se da principalmente al interior de la comunidad, ya que la mayoría de faltas son solucionadas por el Delegado y su Comitiva, sin embargo, cuando las faltas son graves o se considera qu</w:t>
      </w:r>
      <w:r>
        <w:t>e lo ameritan se turnan a las autoridades municipales correspondientes.</w:t>
      </w:r>
    </w:p>
    <w:p w:rsidR="007D10D8" w:rsidRDefault="007D10D8">
      <w:pPr>
        <w:pStyle w:val="Textoindependiente"/>
        <w:spacing w:before="11"/>
        <w:rPr>
          <w:sz w:val="21"/>
        </w:rPr>
      </w:pPr>
    </w:p>
    <w:p w:rsidR="007D10D8" w:rsidRDefault="005B509A">
      <w:pPr>
        <w:pStyle w:val="Textoindependiente"/>
        <w:ind w:left="401" w:right="1697"/>
        <w:jc w:val="both"/>
      </w:pPr>
      <w:r>
        <w:t>Los médicos tradicionales visitados por los habitantes de la comunidad son la partera y el sobador, aunque con la apertura del centro de salud se disminuyeron las prácticas de la medi</w:t>
      </w:r>
      <w:r>
        <w:t>cina tradicional.</w:t>
      </w:r>
    </w:p>
    <w:p w:rsidR="007D10D8" w:rsidRDefault="007D10D8">
      <w:pPr>
        <w:jc w:val="both"/>
        <w:sectPr w:rsidR="007D10D8">
          <w:pgSz w:w="12240" w:h="15840"/>
          <w:pgMar w:top="1060" w:right="0" w:bottom="280" w:left="1300" w:header="720" w:footer="720" w:gutter="0"/>
          <w:cols w:space="720"/>
        </w:sect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D10D8">
        <w:trPr>
          <w:trHeight w:val="759"/>
        </w:trPr>
        <w:tc>
          <w:tcPr>
            <w:tcW w:w="7544" w:type="dxa"/>
            <w:gridSpan w:val="3"/>
          </w:tcPr>
          <w:p w:rsidR="007D10D8" w:rsidRDefault="005B509A">
            <w:pPr>
              <w:pStyle w:val="TableParagraph"/>
              <w:spacing w:line="193" w:lineRule="exact"/>
              <w:ind w:left="2694" w:right="263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Cacateco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7D10D8">
        <w:trPr>
          <w:trHeight w:val="741"/>
        </w:trPr>
        <w:tc>
          <w:tcPr>
            <w:tcW w:w="4640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D10D8" w:rsidRDefault="007D10D8">
            <w:pPr>
              <w:pStyle w:val="TableParagraph"/>
              <w:rPr>
                <w:sz w:val="16"/>
              </w:rPr>
            </w:pPr>
          </w:p>
          <w:p w:rsidR="007D10D8" w:rsidRDefault="007D10D8">
            <w:pPr>
              <w:pStyle w:val="TableParagraph"/>
              <w:rPr>
                <w:sz w:val="16"/>
              </w:rPr>
            </w:pPr>
          </w:p>
          <w:p w:rsidR="007D10D8" w:rsidRDefault="007D10D8">
            <w:pPr>
              <w:pStyle w:val="TableParagraph"/>
              <w:spacing w:before="8"/>
              <w:rPr>
                <w:sz w:val="16"/>
              </w:rPr>
            </w:pPr>
          </w:p>
          <w:p w:rsidR="007D10D8" w:rsidRDefault="005B509A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D10D8">
        <w:trPr>
          <w:trHeight w:val="189"/>
        </w:trPr>
        <w:tc>
          <w:tcPr>
            <w:tcW w:w="4640" w:type="dxa"/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D10D8" w:rsidRDefault="005B509A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D10D8" w:rsidRDefault="005B509A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HGOHUJ021</w:t>
            </w:r>
          </w:p>
        </w:tc>
      </w:tr>
      <w:tr w:rsidR="007D10D8">
        <w:trPr>
          <w:trHeight w:val="369"/>
        </w:trPr>
        <w:tc>
          <w:tcPr>
            <w:tcW w:w="4640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D10D8" w:rsidRDefault="005B509A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D10D8" w:rsidRDefault="005B509A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130280017</w:t>
            </w:r>
          </w:p>
        </w:tc>
      </w:tr>
      <w:tr w:rsidR="007D10D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D10D8" w:rsidRDefault="005B509A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D10D8" w:rsidRDefault="005B509A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D10D8" w:rsidRDefault="005B509A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D10D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D10D8" w:rsidRDefault="005B509A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D10D8" w:rsidRDefault="005B509A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D10D8">
        <w:trPr>
          <w:trHeight w:val="185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84.5%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5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5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D10D8">
        <w:trPr>
          <w:trHeight w:val="185"/>
        </w:trPr>
        <w:tc>
          <w:tcPr>
            <w:tcW w:w="4640" w:type="dxa"/>
            <w:shd w:val="clear" w:color="auto" w:fill="FFFF00"/>
          </w:tcPr>
          <w:p w:rsidR="007D10D8" w:rsidRDefault="005B50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D10D8" w:rsidRDefault="005B50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D10D8" w:rsidRDefault="005B50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5"/>
        </w:trPr>
        <w:tc>
          <w:tcPr>
            <w:tcW w:w="4640" w:type="dxa"/>
            <w:shd w:val="clear" w:color="auto" w:fill="F9BE8F"/>
          </w:tcPr>
          <w:p w:rsidR="007D10D8" w:rsidRDefault="005B509A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D10D8" w:rsidRDefault="005B509A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D10D8" w:rsidRDefault="005B509A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7D10D8">
        <w:trPr>
          <w:trHeight w:val="184"/>
        </w:trPr>
        <w:tc>
          <w:tcPr>
            <w:tcW w:w="4640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D10D8" w:rsidRDefault="005B509A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D10D8">
        <w:trPr>
          <w:trHeight w:val="187"/>
        </w:trPr>
        <w:tc>
          <w:tcPr>
            <w:tcW w:w="4640" w:type="dxa"/>
            <w:shd w:val="clear" w:color="auto" w:fill="DCE6F0"/>
          </w:tcPr>
          <w:p w:rsidR="007D10D8" w:rsidRDefault="005B509A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D10D8" w:rsidRDefault="005B509A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D10D8" w:rsidRDefault="005B509A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D10D8">
        <w:trPr>
          <w:trHeight w:val="3141"/>
        </w:trPr>
        <w:tc>
          <w:tcPr>
            <w:tcW w:w="4640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</w:tc>
      </w:tr>
      <w:tr w:rsidR="007D10D8">
        <w:trPr>
          <w:trHeight w:val="185"/>
        </w:trPr>
        <w:tc>
          <w:tcPr>
            <w:tcW w:w="7544" w:type="dxa"/>
            <w:gridSpan w:val="3"/>
          </w:tcPr>
          <w:p w:rsidR="007D10D8" w:rsidRDefault="005B509A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D10D8">
        <w:trPr>
          <w:trHeight w:val="164"/>
        </w:trPr>
        <w:tc>
          <w:tcPr>
            <w:tcW w:w="4640" w:type="dxa"/>
          </w:tcPr>
          <w:p w:rsidR="007D10D8" w:rsidRDefault="005B509A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D10D8" w:rsidRDefault="007D10D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D10D8" w:rsidRDefault="007D10D8">
            <w:pPr>
              <w:pStyle w:val="TableParagraph"/>
              <w:rPr>
                <w:sz w:val="10"/>
              </w:rPr>
            </w:pPr>
          </w:p>
        </w:tc>
      </w:tr>
    </w:tbl>
    <w:p w:rsidR="007D10D8" w:rsidRDefault="007D10D8">
      <w:pPr>
        <w:rPr>
          <w:sz w:val="10"/>
        </w:rPr>
        <w:sectPr w:rsidR="007D10D8">
          <w:pgSz w:w="11910" w:h="16840"/>
          <w:pgMar w:top="1600" w:right="0" w:bottom="280" w:left="1680" w:header="720" w:footer="720" w:gutter="0"/>
          <w:cols w:space="720"/>
        </w:sectPr>
      </w:pPr>
    </w:p>
    <w:p w:rsidR="007D10D8" w:rsidRDefault="005B509A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D10D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line="193" w:lineRule="exact"/>
              <w:ind w:left="5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Cacateco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</w:tr>
      <w:tr w:rsidR="007D10D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HGOHUJ021</w:t>
            </w:r>
          </w:p>
        </w:tc>
      </w:tr>
      <w:tr w:rsidR="007D10D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7D10D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130280017</w:t>
            </w:r>
          </w:p>
        </w:tc>
      </w:tr>
      <w:tr w:rsidR="007D10D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10D8" w:rsidRDefault="007D10D8">
            <w:pPr>
              <w:pStyle w:val="TableParagraph"/>
              <w:spacing w:before="9"/>
              <w:rPr>
                <w:sz w:val="10"/>
              </w:rPr>
            </w:pPr>
          </w:p>
          <w:p w:rsidR="007D10D8" w:rsidRDefault="005B509A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10D8" w:rsidRDefault="007D10D8">
            <w:pPr>
              <w:pStyle w:val="TableParagraph"/>
              <w:spacing w:before="9"/>
              <w:rPr>
                <w:sz w:val="10"/>
              </w:rPr>
            </w:pPr>
          </w:p>
          <w:p w:rsidR="007D10D8" w:rsidRDefault="005B509A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10D8" w:rsidRDefault="005B509A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10D8" w:rsidRDefault="007D10D8">
            <w:pPr>
              <w:pStyle w:val="TableParagraph"/>
              <w:spacing w:before="9"/>
              <w:rPr>
                <w:sz w:val="10"/>
              </w:rPr>
            </w:pPr>
          </w:p>
          <w:p w:rsidR="007D10D8" w:rsidRDefault="005B509A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D10D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D10D8" w:rsidRDefault="005B509A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D10D8" w:rsidRDefault="005B509A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D10D8" w:rsidRDefault="005B509A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D10D8" w:rsidRDefault="005B509A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84.5%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11"/>
              <w:rPr>
                <w:sz w:val="20"/>
              </w:rPr>
            </w:pPr>
          </w:p>
          <w:p w:rsidR="007D10D8" w:rsidRDefault="005B509A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7D10D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5B509A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7"/>
              </w:rPr>
            </w:pPr>
          </w:p>
          <w:p w:rsidR="007D10D8" w:rsidRDefault="005B50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D10D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spacing w:before="10"/>
              <w:rPr>
                <w:sz w:val="17"/>
              </w:rPr>
            </w:pPr>
          </w:p>
          <w:p w:rsidR="007D10D8" w:rsidRDefault="005B50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92D050"/>
          </w:tcPr>
          <w:p w:rsidR="007D10D8" w:rsidRDefault="005B509A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D10D8" w:rsidRDefault="005B509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D10D8" w:rsidRDefault="007D10D8">
            <w:pPr>
              <w:pStyle w:val="TableParagraph"/>
              <w:spacing w:before="10"/>
              <w:rPr>
                <w:sz w:val="17"/>
              </w:rPr>
            </w:pPr>
          </w:p>
          <w:p w:rsidR="007D10D8" w:rsidRDefault="005B509A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7D10D8" w:rsidRDefault="005B509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7D10D8" w:rsidRDefault="005B509A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D10D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11"/>
              <w:rPr>
                <w:sz w:val="20"/>
              </w:rPr>
            </w:pPr>
          </w:p>
          <w:p w:rsidR="007D10D8" w:rsidRDefault="005B509A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D10D8" w:rsidRDefault="005B509A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5B509A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D10D8" w:rsidRDefault="007D10D8">
            <w:pPr>
              <w:pStyle w:val="TableParagraph"/>
              <w:rPr>
                <w:sz w:val="14"/>
              </w:rPr>
            </w:pPr>
          </w:p>
          <w:p w:rsidR="007D10D8" w:rsidRDefault="007D10D8">
            <w:pPr>
              <w:pStyle w:val="TableParagraph"/>
              <w:spacing w:before="2"/>
              <w:rPr>
                <w:sz w:val="11"/>
              </w:rPr>
            </w:pPr>
          </w:p>
          <w:p w:rsidR="007D10D8" w:rsidRDefault="005B509A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D10D8" w:rsidRDefault="005B509A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D10D8" w:rsidRDefault="005B509A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D10D8" w:rsidRDefault="007D10D8">
            <w:pPr>
              <w:rPr>
                <w:sz w:val="2"/>
                <w:szCs w:val="2"/>
              </w:rPr>
            </w:pPr>
          </w:p>
        </w:tc>
      </w:tr>
      <w:tr w:rsidR="007D10D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D10D8" w:rsidRDefault="005B509A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D10D8" w:rsidRDefault="007D10D8">
      <w:pPr>
        <w:spacing w:line="107" w:lineRule="exact"/>
        <w:rPr>
          <w:sz w:val="11"/>
        </w:rPr>
        <w:sectPr w:rsidR="007D10D8">
          <w:pgSz w:w="11910" w:h="16840"/>
          <w:pgMar w:top="1600" w:right="0" w:bottom="280" w:left="1680" w:header="720" w:footer="720" w:gutter="0"/>
          <w:cols w:space="720"/>
        </w:sect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10"/>
        </w:rPr>
      </w:pPr>
    </w:p>
    <w:p w:rsidR="007D10D8" w:rsidRDefault="007D10D8">
      <w:pPr>
        <w:pStyle w:val="Textoindependiente"/>
        <w:spacing w:before="3"/>
        <w:rPr>
          <w:sz w:val="9"/>
        </w:rPr>
      </w:pPr>
    </w:p>
    <w:p w:rsidR="007D10D8" w:rsidRDefault="005B509A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383;top:-2487;width:5294;height:5117" coordorigin="3384,-2487" coordsize="5294,5117" o:spt="100" adj="0,,0" path="m3966,-1979r301,993l5980,-99r375,2729l6803,1796r1141,l8230,1490,8575,824,8178,51r499,-711l8458,-1276r-3194,l3966,-1979xm7944,1796r-1141,l7718,2038r226,-242xm5980,-99l3384,824r345,666l5980,-99xm6648,-2487r-668,60l5264,-1276r3194,l8426,-1367r-269,-380l6981,-1747r-333,-740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383;top:-2487;width:5294;height:5117" coordorigin="3384,-2487" coordsize="5294,5117" path="m5980,-2427r668,-60l6981,-1747r1012,-232l8426,-1367r251,707l8178,51r397,773l8230,1490r-512,548l6803,1796r-448,834l5980,-99,5431,1164,5980,-99,3729,1490,3384,824,5980,-99,4267,-986r-301,-993l5264,-1276r716,-1151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D10D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D10D8" w:rsidRDefault="005B509A">
                        <w:pPr>
                          <w:pStyle w:val="TableParagraph"/>
                          <w:spacing w:line="193" w:lineRule="exact"/>
                          <w:ind w:left="2989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Cacateco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10D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D10D8" w:rsidRDefault="007D10D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D10D8" w:rsidRDefault="007D10D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HGOHUJ021</w:t>
                        </w:r>
                      </w:p>
                    </w:tc>
                  </w:tr>
                  <w:tr w:rsidR="007D10D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D10D8" w:rsidRDefault="005B509A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D10D8" w:rsidRDefault="007D10D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D10D8" w:rsidRDefault="007D10D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D10D8" w:rsidRDefault="007D10D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D10D8" w:rsidRDefault="005B509A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D10D8" w:rsidRDefault="005B509A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D10D8" w:rsidRDefault="005B509A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130280017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D10D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D10D8" w:rsidRDefault="007D10D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D10D8" w:rsidRDefault="005B509A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D10D8" w:rsidRDefault="007D10D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D10D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D10D8" w:rsidRDefault="005B509A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D10D8" w:rsidRDefault="007D10D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7D10D8">
      <w:pPr>
        <w:pStyle w:val="Textoindependiente"/>
        <w:rPr>
          <w:sz w:val="20"/>
        </w:rPr>
      </w:pPr>
    </w:p>
    <w:p w:rsidR="007D10D8" w:rsidRDefault="005B509A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D10D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10D8"/>
    <w:rsid w:val="005B509A"/>
    <w:rsid w:val="007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C05079A"/>
  <w15:docId w15:val="{34E6C35C-A2E9-416F-B2EF-95E70A17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2019-05-28T17:13:00Z</dcterms:created>
  <dcterms:modified xsi:type="dcterms:W3CDTF">2019-05-29T01:48:00Z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