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8C" w:rsidRDefault="00E6051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012BD0F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spacing w:before="1"/>
        <w:rPr>
          <w:sz w:val="28"/>
        </w:rPr>
      </w:pPr>
    </w:p>
    <w:p w:rsidR="00AE498C" w:rsidRDefault="00E6051F">
      <w:pPr>
        <w:spacing w:before="82" w:line="490" w:lineRule="exact"/>
        <w:ind w:left="3334" w:right="463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Chalahuitzintla</w:t>
      </w:r>
      <w:proofErr w:type="spellEnd"/>
    </w:p>
    <w:p w:rsidR="00AE498C" w:rsidRDefault="00E6051F">
      <w:pPr>
        <w:spacing w:line="260" w:lineRule="exact"/>
        <w:ind w:left="3334" w:right="463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HGOHUJ025</w:t>
      </w: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spacing w:before="10"/>
        <w:rPr>
          <w:sz w:val="18"/>
        </w:rPr>
      </w:pPr>
    </w:p>
    <w:p w:rsidR="00AE498C" w:rsidRDefault="00E6051F">
      <w:pPr>
        <w:spacing w:before="90"/>
        <w:ind w:left="6849"/>
        <w:rPr>
          <w:sz w:val="24"/>
        </w:rPr>
      </w:pPr>
      <w:proofErr w:type="spellStart"/>
      <w:r>
        <w:rPr>
          <w:color w:val="231F20"/>
          <w:sz w:val="24"/>
        </w:rPr>
        <w:t>Chalahuitzintla</w:t>
      </w:r>
      <w:proofErr w:type="spellEnd"/>
      <w:r>
        <w:rPr>
          <w:color w:val="231F20"/>
          <w:sz w:val="24"/>
        </w:rPr>
        <w:t>: 130280040</w:t>
      </w:r>
    </w:p>
    <w:p w:rsidR="00AE498C" w:rsidRDefault="00AE498C">
      <w:pPr>
        <w:rPr>
          <w:sz w:val="24"/>
        </w:rPr>
        <w:sectPr w:rsidR="00AE498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E6051F">
      <w:pPr>
        <w:spacing w:before="218"/>
        <w:ind w:left="3334" w:right="463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E498C" w:rsidRDefault="00AE498C">
      <w:pPr>
        <w:pStyle w:val="Textoindependiente"/>
        <w:spacing w:before="8"/>
        <w:rPr>
          <w:b/>
          <w:sz w:val="40"/>
        </w:rPr>
      </w:pPr>
    </w:p>
    <w:p w:rsidR="00AE498C" w:rsidRDefault="00E6051F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Chalahuitzintla</w:t>
      </w:r>
      <w:proofErr w:type="spellEnd"/>
      <w:r>
        <w:t>, del Municipio de Huejutla de</w:t>
      </w:r>
      <w:r>
        <w:t xml:space="preserve"> Reyes, con clave INEGI </w:t>
      </w:r>
      <w:r>
        <w:rPr>
          <w:b/>
        </w:rPr>
        <w:t xml:space="preserve">130280040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HGOHUJ025.</w:t>
      </w:r>
    </w:p>
    <w:p w:rsidR="00AE498C" w:rsidRDefault="00AE498C">
      <w:pPr>
        <w:pStyle w:val="Textoindependiente"/>
        <w:rPr>
          <w:b/>
          <w:sz w:val="24"/>
        </w:rPr>
      </w:pPr>
    </w:p>
    <w:p w:rsidR="00AE498C" w:rsidRDefault="00E6051F">
      <w:pPr>
        <w:pStyle w:val="Textoindependiente"/>
        <w:ind w:left="401" w:right="1697"/>
        <w:jc w:val="both"/>
      </w:pPr>
      <w:proofErr w:type="spellStart"/>
      <w:r>
        <w:rPr>
          <w:b/>
        </w:rPr>
        <w:t>Chalahuitzintla</w:t>
      </w:r>
      <w:proofErr w:type="spellEnd"/>
      <w:r>
        <w:rPr>
          <w:b/>
        </w:rPr>
        <w:t xml:space="preserve"> </w:t>
      </w:r>
      <w:r>
        <w:t>mantiene una intensa vida</w:t>
      </w:r>
      <w:r>
        <w:t xml:space="preserve"> social articulada por sus autoridades que son elegidas por un periodo de un año en Asambleas Generales, a las cuales son convocados todos los Faeneros, de igual manera cuentan con una Asamblea, integrada por los que alguna vez fueron Jueces y Delegados, c</w:t>
      </w:r>
      <w:r>
        <w:t>umple la función de Consejo como autoridad máxima de la comunidad.</w:t>
      </w:r>
    </w:p>
    <w:p w:rsidR="00AE498C" w:rsidRDefault="00AE498C">
      <w:pPr>
        <w:pStyle w:val="Textoindependiente"/>
      </w:pPr>
    </w:p>
    <w:p w:rsidR="00AE498C" w:rsidRDefault="00E6051F">
      <w:pPr>
        <w:pStyle w:val="Textoindependiente"/>
        <w:ind w:left="401" w:right="1697"/>
        <w:jc w:val="both"/>
      </w:pPr>
      <w:r>
        <w:t>Esta comunidad tiene un significativo 94 por ciento de Hablantes de Lengua Indígena, con el náhuatl como la primera lengua.</w:t>
      </w:r>
    </w:p>
    <w:p w:rsidR="00AE498C" w:rsidRDefault="00AE498C">
      <w:pPr>
        <w:pStyle w:val="Textoindependiente"/>
      </w:pPr>
    </w:p>
    <w:p w:rsidR="00AE498C" w:rsidRDefault="00E6051F">
      <w:pPr>
        <w:pStyle w:val="Textoindependiente"/>
        <w:ind w:left="401" w:right="1698"/>
        <w:jc w:val="both"/>
      </w:pPr>
      <w:r>
        <w:t>Sobre las prácticas culturales, se observa que las Fiestas Trad</w:t>
      </w:r>
      <w:r>
        <w:t xml:space="preserve">icionales conservan su carácter unificador, sin embargo, se ha dado la pérdida del Carnaval como fiesta significativa; es importante mencionar que la comunidad vincula las ceremonias y ritos agrícolas, por </w:t>
      </w:r>
      <w:proofErr w:type="gramStart"/>
      <w:r>
        <w:t>ejemplo</w:t>
      </w:r>
      <w:proofErr w:type="gramEnd"/>
      <w:r>
        <w:t xml:space="preserve"> durante la siembra del plátano que se cult</w:t>
      </w:r>
      <w:r>
        <w:t>iva durante la luna llena.</w:t>
      </w:r>
    </w:p>
    <w:p w:rsidR="00AE498C" w:rsidRDefault="00AE498C">
      <w:pPr>
        <w:pStyle w:val="Textoindependiente"/>
      </w:pPr>
    </w:p>
    <w:p w:rsidR="00AE498C" w:rsidRDefault="00E6051F">
      <w:pPr>
        <w:pStyle w:val="Textoindependiente"/>
        <w:ind w:left="401" w:right="1697"/>
        <w:jc w:val="both"/>
      </w:pPr>
      <w:r>
        <w:t>La impartición de justicia se da principalmente al interior de la comunidad ya que la mayoría de faltas son solucionadas por el Delegado y su Comitiva, sin embargo, cuando la gravedad de la falta lo amerita se turna a las autoridades municipales correspond</w:t>
      </w:r>
      <w:r>
        <w:t>ientes.</w:t>
      </w:r>
    </w:p>
    <w:p w:rsidR="00AE498C" w:rsidRDefault="00AE498C">
      <w:pPr>
        <w:pStyle w:val="Textoindependiente"/>
      </w:pPr>
    </w:p>
    <w:p w:rsidR="00AE498C" w:rsidRDefault="00E6051F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malestares, aunque no se expresaron propiamente las “enfermedades culturales”, </w:t>
      </w:r>
      <w:proofErr w:type="gramStart"/>
      <w:r>
        <w:t>sí  se</w:t>
      </w:r>
      <w:proofErr w:type="gramEnd"/>
      <w:r>
        <w:t xml:space="preserve"> confirmó el uso de hierbas como remedios para alg</w:t>
      </w:r>
      <w:r>
        <w:t>unas enfermedades como los cólicos, diarrea, dolor de riñón y vesícula; entre los médicos tradicionales destacan la partera y el</w:t>
      </w:r>
      <w:r>
        <w:rPr>
          <w:spacing w:val="-3"/>
        </w:rPr>
        <w:t xml:space="preserve"> </w:t>
      </w:r>
      <w:r>
        <w:t>sobador.</w:t>
      </w:r>
    </w:p>
    <w:p w:rsidR="00AE498C" w:rsidRDefault="00AE498C">
      <w:pPr>
        <w:jc w:val="both"/>
        <w:sectPr w:rsidR="00AE498C">
          <w:pgSz w:w="12240" w:h="15840"/>
          <w:pgMar w:top="1060" w:right="0" w:bottom="280" w:left="1300" w:header="720" w:footer="720" w:gutter="0"/>
          <w:cols w:space="720"/>
        </w:sect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E498C">
        <w:trPr>
          <w:trHeight w:val="759"/>
        </w:trPr>
        <w:tc>
          <w:tcPr>
            <w:tcW w:w="7544" w:type="dxa"/>
            <w:gridSpan w:val="3"/>
          </w:tcPr>
          <w:p w:rsidR="00AE498C" w:rsidRDefault="00E6051F">
            <w:pPr>
              <w:pStyle w:val="TableParagraph"/>
              <w:spacing w:line="193" w:lineRule="exact"/>
              <w:ind w:left="2447" w:right="238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Chalahuitzintla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AE498C">
        <w:trPr>
          <w:trHeight w:val="741"/>
        </w:trPr>
        <w:tc>
          <w:tcPr>
            <w:tcW w:w="4640" w:type="dxa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E498C" w:rsidRDefault="00AE498C">
            <w:pPr>
              <w:pStyle w:val="TableParagraph"/>
              <w:rPr>
                <w:sz w:val="16"/>
              </w:rPr>
            </w:pPr>
          </w:p>
          <w:p w:rsidR="00AE498C" w:rsidRDefault="00AE498C">
            <w:pPr>
              <w:pStyle w:val="TableParagraph"/>
              <w:rPr>
                <w:sz w:val="16"/>
              </w:rPr>
            </w:pPr>
          </w:p>
          <w:p w:rsidR="00AE498C" w:rsidRDefault="00AE498C">
            <w:pPr>
              <w:pStyle w:val="TableParagraph"/>
              <w:spacing w:before="8"/>
              <w:rPr>
                <w:sz w:val="16"/>
              </w:rPr>
            </w:pPr>
          </w:p>
          <w:p w:rsidR="00AE498C" w:rsidRDefault="00E6051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E498C">
        <w:trPr>
          <w:trHeight w:val="189"/>
        </w:trPr>
        <w:tc>
          <w:tcPr>
            <w:tcW w:w="4640" w:type="dxa"/>
          </w:tcPr>
          <w:p w:rsidR="00AE498C" w:rsidRDefault="00AE498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E498C" w:rsidRDefault="00E6051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E498C" w:rsidRDefault="00E6051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HGOHUJ025</w:t>
            </w:r>
          </w:p>
        </w:tc>
      </w:tr>
      <w:tr w:rsidR="00AE498C">
        <w:trPr>
          <w:trHeight w:val="369"/>
        </w:trPr>
        <w:tc>
          <w:tcPr>
            <w:tcW w:w="4640" w:type="dxa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E498C" w:rsidRDefault="00E6051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E498C" w:rsidRDefault="00E6051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130280040</w:t>
            </w:r>
          </w:p>
        </w:tc>
      </w:tr>
      <w:tr w:rsidR="00AE498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E498C" w:rsidRDefault="00E6051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E498C" w:rsidRDefault="00E6051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E498C" w:rsidRDefault="00E6051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E498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E498C" w:rsidRDefault="00E6051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E498C" w:rsidRDefault="00E6051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E498C">
        <w:trPr>
          <w:trHeight w:val="185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93.5%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5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5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5"/>
        </w:trPr>
        <w:tc>
          <w:tcPr>
            <w:tcW w:w="4640" w:type="dxa"/>
            <w:shd w:val="clear" w:color="auto" w:fill="FFFF00"/>
          </w:tcPr>
          <w:p w:rsidR="00AE498C" w:rsidRDefault="00E6051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E498C" w:rsidRDefault="00E6051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E498C" w:rsidRDefault="00E6051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FFFF00"/>
          </w:tcPr>
          <w:p w:rsidR="00AE498C" w:rsidRDefault="00E6051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FFFF00"/>
          </w:tcPr>
          <w:p w:rsidR="00AE498C" w:rsidRDefault="00E6051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FFFF00"/>
          </w:tcPr>
          <w:p w:rsidR="00AE498C" w:rsidRDefault="00E6051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E498C">
        <w:trPr>
          <w:trHeight w:val="185"/>
        </w:trPr>
        <w:tc>
          <w:tcPr>
            <w:tcW w:w="4640" w:type="dxa"/>
            <w:shd w:val="clear" w:color="auto" w:fill="F9BE8F"/>
          </w:tcPr>
          <w:p w:rsidR="00AE498C" w:rsidRDefault="00E6051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E498C" w:rsidRDefault="00E6051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E498C" w:rsidRDefault="00E6051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F9BE8F"/>
          </w:tcPr>
          <w:p w:rsidR="00AE498C" w:rsidRDefault="00E6051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F9BE8F"/>
          </w:tcPr>
          <w:p w:rsidR="00AE498C" w:rsidRDefault="00E6051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71.5%</w:t>
            </w:r>
          </w:p>
        </w:tc>
      </w:tr>
      <w:tr w:rsidR="00AE498C">
        <w:trPr>
          <w:trHeight w:val="184"/>
        </w:trPr>
        <w:tc>
          <w:tcPr>
            <w:tcW w:w="4640" w:type="dxa"/>
            <w:shd w:val="clear" w:color="auto" w:fill="F9BE8F"/>
          </w:tcPr>
          <w:p w:rsidR="00AE498C" w:rsidRDefault="00E6051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E498C" w:rsidRDefault="00E6051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E498C" w:rsidRDefault="00E6051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498C">
        <w:trPr>
          <w:trHeight w:val="187"/>
        </w:trPr>
        <w:tc>
          <w:tcPr>
            <w:tcW w:w="4640" w:type="dxa"/>
            <w:shd w:val="clear" w:color="auto" w:fill="DCE6F0"/>
          </w:tcPr>
          <w:p w:rsidR="00AE498C" w:rsidRDefault="00E6051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E498C" w:rsidRDefault="00E6051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E498C" w:rsidRDefault="00E6051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E498C">
        <w:trPr>
          <w:trHeight w:val="3141"/>
        </w:trPr>
        <w:tc>
          <w:tcPr>
            <w:tcW w:w="4640" w:type="dxa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E6051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</w:tc>
      </w:tr>
      <w:tr w:rsidR="00AE498C">
        <w:trPr>
          <w:trHeight w:val="185"/>
        </w:trPr>
        <w:tc>
          <w:tcPr>
            <w:tcW w:w="7544" w:type="dxa"/>
            <w:gridSpan w:val="3"/>
          </w:tcPr>
          <w:p w:rsidR="00AE498C" w:rsidRDefault="00E6051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E498C">
        <w:trPr>
          <w:trHeight w:val="164"/>
        </w:trPr>
        <w:tc>
          <w:tcPr>
            <w:tcW w:w="4640" w:type="dxa"/>
          </w:tcPr>
          <w:p w:rsidR="00AE498C" w:rsidRDefault="00E6051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E498C" w:rsidRDefault="00AE498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E498C" w:rsidRDefault="00AE498C">
            <w:pPr>
              <w:pStyle w:val="TableParagraph"/>
              <w:rPr>
                <w:sz w:val="10"/>
              </w:rPr>
            </w:pPr>
          </w:p>
        </w:tc>
      </w:tr>
    </w:tbl>
    <w:p w:rsidR="00AE498C" w:rsidRDefault="00AE498C">
      <w:pPr>
        <w:rPr>
          <w:sz w:val="10"/>
        </w:rPr>
        <w:sectPr w:rsidR="00AE498C">
          <w:pgSz w:w="11910" w:h="16840"/>
          <w:pgMar w:top="1600" w:right="0" w:bottom="280" w:left="1680" w:header="720" w:footer="720" w:gutter="0"/>
          <w:cols w:space="720"/>
        </w:sectPr>
      </w:pPr>
    </w:p>
    <w:p w:rsidR="00AE498C" w:rsidRDefault="00E6051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E498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AE498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E6051F">
            <w:pPr>
              <w:pStyle w:val="TableParagraph"/>
              <w:spacing w:line="193" w:lineRule="exact"/>
              <w:ind w:left="29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Chalahuitzintla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AE498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AE498C">
            <w:pPr>
              <w:pStyle w:val="TableParagraph"/>
              <w:rPr>
                <w:sz w:val="12"/>
              </w:rPr>
            </w:pPr>
          </w:p>
        </w:tc>
      </w:tr>
      <w:tr w:rsidR="00AE498C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AE498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AE498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E6051F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E6051F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HGOHUJ025</w:t>
            </w:r>
          </w:p>
        </w:tc>
      </w:tr>
      <w:tr w:rsidR="00AE498C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AE498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AE498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E6051F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E498C" w:rsidRDefault="00E6051F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130280040</w:t>
            </w:r>
          </w:p>
        </w:tc>
      </w:tr>
      <w:tr w:rsidR="00AE498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498C" w:rsidRDefault="00AE498C">
            <w:pPr>
              <w:pStyle w:val="TableParagraph"/>
              <w:spacing w:before="9"/>
              <w:rPr>
                <w:sz w:val="10"/>
              </w:rPr>
            </w:pPr>
          </w:p>
          <w:p w:rsidR="00AE498C" w:rsidRDefault="00E6051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498C" w:rsidRDefault="00AE498C">
            <w:pPr>
              <w:pStyle w:val="TableParagraph"/>
              <w:spacing w:before="9"/>
              <w:rPr>
                <w:sz w:val="10"/>
              </w:rPr>
            </w:pPr>
          </w:p>
          <w:p w:rsidR="00AE498C" w:rsidRDefault="00E6051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498C" w:rsidRDefault="00E6051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498C" w:rsidRDefault="00AE498C">
            <w:pPr>
              <w:pStyle w:val="TableParagraph"/>
              <w:spacing w:before="9"/>
              <w:rPr>
                <w:sz w:val="10"/>
              </w:rPr>
            </w:pPr>
          </w:p>
          <w:p w:rsidR="00AE498C" w:rsidRDefault="00E6051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E498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E498C" w:rsidRDefault="00E6051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E498C" w:rsidRDefault="00E6051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E498C" w:rsidRDefault="00E6051F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E498C" w:rsidRDefault="00E6051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93.5%</w:t>
            </w: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11"/>
              <w:rPr>
                <w:sz w:val="20"/>
              </w:rPr>
            </w:pPr>
          </w:p>
          <w:p w:rsidR="00AE498C" w:rsidRDefault="00E6051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E6051F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E6051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2"/>
              <w:rPr>
                <w:sz w:val="11"/>
              </w:rPr>
            </w:pPr>
          </w:p>
          <w:p w:rsidR="00AE498C" w:rsidRDefault="00E6051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AE498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498C" w:rsidRDefault="00E6051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E6051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2"/>
              <w:rPr>
                <w:sz w:val="11"/>
              </w:rPr>
            </w:pPr>
          </w:p>
          <w:p w:rsidR="00AE498C" w:rsidRDefault="00E6051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498C" w:rsidRDefault="00E6051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498C" w:rsidRDefault="00E6051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7"/>
              </w:rPr>
            </w:pPr>
          </w:p>
          <w:p w:rsidR="00AE498C" w:rsidRDefault="00E6051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498C" w:rsidRDefault="00E6051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E6051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2"/>
              <w:rPr>
                <w:sz w:val="11"/>
              </w:rPr>
            </w:pPr>
          </w:p>
          <w:p w:rsidR="00AE498C" w:rsidRDefault="00E6051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498C" w:rsidRDefault="00E6051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E6051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2"/>
              <w:rPr>
                <w:sz w:val="11"/>
              </w:rPr>
            </w:pPr>
          </w:p>
          <w:p w:rsidR="00AE498C" w:rsidRDefault="00E6051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E498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spacing w:before="10"/>
              <w:rPr>
                <w:sz w:val="17"/>
              </w:rPr>
            </w:pPr>
          </w:p>
          <w:p w:rsidR="00AE498C" w:rsidRDefault="00E6051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2"/>
              <w:rPr>
                <w:sz w:val="11"/>
              </w:rPr>
            </w:pPr>
          </w:p>
          <w:p w:rsidR="00AE498C" w:rsidRDefault="00E6051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shd w:val="clear" w:color="auto" w:fill="92D050"/>
          </w:tcPr>
          <w:p w:rsidR="00AE498C" w:rsidRDefault="00E6051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498C" w:rsidRDefault="00E6051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E498C" w:rsidRDefault="00AE498C">
            <w:pPr>
              <w:pStyle w:val="TableParagraph"/>
              <w:spacing w:before="10"/>
              <w:rPr>
                <w:sz w:val="17"/>
              </w:rPr>
            </w:pPr>
          </w:p>
          <w:p w:rsidR="00AE498C" w:rsidRDefault="00E6051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2"/>
              <w:rPr>
                <w:sz w:val="11"/>
              </w:rPr>
            </w:pPr>
          </w:p>
          <w:p w:rsidR="00AE498C" w:rsidRDefault="00E6051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E498C" w:rsidRDefault="00E6051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E498C" w:rsidRDefault="00E6051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E6051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2"/>
              <w:rPr>
                <w:sz w:val="11"/>
              </w:rPr>
            </w:pPr>
          </w:p>
          <w:p w:rsidR="00AE498C" w:rsidRDefault="00E6051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E498C" w:rsidRDefault="00E6051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E6051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2"/>
              <w:rPr>
                <w:sz w:val="11"/>
              </w:rPr>
            </w:pPr>
          </w:p>
          <w:p w:rsidR="00AE498C" w:rsidRDefault="00E6051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11"/>
              <w:rPr>
                <w:sz w:val="20"/>
              </w:rPr>
            </w:pPr>
          </w:p>
          <w:p w:rsidR="00AE498C" w:rsidRDefault="00E6051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E6051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71.5%</w:t>
            </w: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E498C" w:rsidRDefault="00E6051F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E498C" w:rsidRDefault="00E6051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498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E6051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E498C" w:rsidRDefault="00E6051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E498C" w:rsidRDefault="00AE498C">
            <w:pPr>
              <w:pStyle w:val="TableParagraph"/>
              <w:rPr>
                <w:sz w:val="14"/>
              </w:rPr>
            </w:pPr>
          </w:p>
          <w:p w:rsidR="00AE498C" w:rsidRDefault="00AE498C">
            <w:pPr>
              <w:pStyle w:val="TableParagraph"/>
              <w:spacing w:before="2"/>
              <w:rPr>
                <w:sz w:val="11"/>
              </w:rPr>
            </w:pPr>
          </w:p>
          <w:p w:rsidR="00AE498C" w:rsidRDefault="00E6051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E498C" w:rsidRDefault="00E6051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E498C" w:rsidRDefault="00E6051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E498C" w:rsidRDefault="00E6051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E498C" w:rsidRDefault="00E6051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E498C" w:rsidRDefault="00AE498C">
            <w:pPr>
              <w:rPr>
                <w:sz w:val="2"/>
                <w:szCs w:val="2"/>
              </w:rPr>
            </w:pPr>
          </w:p>
        </w:tc>
      </w:tr>
      <w:tr w:rsidR="00AE498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E498C" w:rsidRDefault="00E6051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E498C" w:rsidRDefault="00AE498C">
      <w:pPr>
        <w:spacing w:line="107" w:lineRule="exact"/>
        <w:rPr>
          <w:sz w:val="11"/>
        </w:rPr>
        <w:sectPr w:rsidR="00AE498C">
          <w:pgSz w:w="11910" w:h="16840"/>
          <w:pgMar w:top="1600" w:right="0" w:bottom="280" w:left="1680" w:header="720" w:footer="720" w:gutter="0"/>
          <w:cols w:space="720"/>
        </w:sect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10"/>
        </w:rPr>
      </w:pPr>
    </w:p>
    <w:p w:rsidR="00AE498C" w:rsidRDefault="00AE498C">
      <w:pPr>
        <w:pStyle w:val="Textoindependiente"/>
        <w:spacing w:before="3"/>
        <w:rPr>
          <w:sz w:val="9"/>
        </w:rPr>
      </w:pPr>
    </w:p>
    <w:p w:rsidR="00AE498C" w:rsidRDefault="00E6051F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254,533r-549,l5604,2630r751,l6254,533xm3966,-1979r264,974l5305,-239,3231,89,4682,362,3729,1490r512,548l5705,533r2721,l8178,51r499,-711l8667,-688r-3045,l3966,-1979xm8426,533r-2172,l7718,2038r512,-548l8575,824,8426,533xm6723,-2752r-743,77l5622,-688r3045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675r743,-77l6981,-1747r1012,-232l8426,-1367r251,707l8178,51r397,773l8230,1490r-512,548l6254,533r101,2097l5604,2630,5705,533,4241,2038,3729,1490,4682,362,3231,89,5305,-239,4230,-1005r-264,-974l5622,-688r358,-198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AE498C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AE498C" w:rsidRDefault="00E6051F">
                        <w:pPr>
                          <w:pStyle w:val="TableParagraph"/>
                          <w:spacing w:line="193" w:lineRule="exact"/>
                          <w:ind w:left="274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Chalahuitzintla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E498C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AE498C" w:rsidRDefault="00AE498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498C" w:rsidRDefault="00AE498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HGOHUJ025</w:t>
                        </w:r>
                      </w:p>
                    </w:tc>
                  </w:tr>
                  <w:tr w:rsidR="00AE498C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AE498C" w:rsidRDefault="00E6051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E498C" w:rsidRDefault="00AE498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E498C" w:rsidRDefault="00AE498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E498C" w:rsidRDefault="00AE498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E498C" w:rsidRDefault="00E6051F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E498C" w:rsidRDefault="00E6051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498C" w:rsidRDefault="00E6051F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130280040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E498C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498C" w:rsidRDefault="00AE498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E498C" w:rsidRDefault="00E6051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498C" w:rsidRDefault="00AE498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E498C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AE498C" w:rsidRDefault="00E6051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E498C" w:rsidRDefault="00AE498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AE498C">
      <w:pPr>
        <w:pStyle w:val="Textoindependiente"/>
        <w:rPr>
          <w:sz w:val="20"/>
        </w:rPr>
      </w:pPr>
    </w:p>
    <w:p w:rsidR="00AE498C" w:rsidRDefault="00E6051F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E498C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498C"/>
    <w:rsid w:val="00AE498C"/>
    <w:rsid w:val="00E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843C8E9"/>
  <w15:docId w15:val="{BCDF72AB-3C14-4FF9-B005-3615FF1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1016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2019-05-28T17:34:00Z</dcterms:created>
  <dcterms:modified xsi:type="dcterms:W3CDTF">2019-05-29T02:00:00Z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