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01" w:rsidRDefault="000C7F0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DA8988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spacing w:before="1"/>
        <w:rPr>
          <w:sz w:val="28"/>
        </w:rPr>
      </w:pPr>
    </w:p>
    <w:p w:rsidR="00734C01" w:rsidRDefault="000C7F06">
      <w:pPr>
        <w:spacing w:before="82" w:line="490" w:lineRule="exact"/>
        <w:ind w:left="3702" w:right="4999"/>
        <w:jc w:val="center"/>
        <w:rPr>
          <w:b/>
          <w:sz w:val="44"/>
        </w:rPr>
      </w:pPr>
      <w:proofErr w:type="spellStart"/>
      <w:r>
        <w:rPr>
          <w:b/>
          <w:color w:val="231F20"/>
          <w:spacing w:val="-5"/>
          <w:sz w:val="44"/>
        </w:rPr>
        <w:t>Tepeyacapa</w:t>
      </w:r>
      <w:proofErr w:type="spellEnd"/>
    </w:p>
    <w:p w:rsidR="00734C01" w:rsidRDefault="000C7F06">
      <w:pPr>
        <w:spacing w:line="260" w:lineRule="exact"/>
        <w:ind w:left="3701" w:right="499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HGOHUJ119</w:t>
      </w: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spacing w:before="10"/>
        <w:rPr>
          <w:sz w:val="18"/>
        </w:rPr>
      </w:pPr>
    </w:p>
    <w:p w:rsidR="00734C01" w:rsidRDefault="000C7F06">
      <w:pPr>
        <w:spacing w:before="90"/>
        <w:ind w:left="7187"/>
        <w:rPr>
          <w:sz w:val="24"/>
        </w:rPr>
      </w:pPr>
      <w:proofErr w:type="spellStart"/>
      <w:r>
        <w:rPr>
          <w:color w:val="231F20"/>
          <w:sz w:val="24"/>
        </w:rPr>
        <w:t>Tepeyacapa</w:t>
      </w:r>
      <w:proofErr w:type="spellEnd"/>
      <w:r>
        <w:rPr>
          <w:color w:val="231F20"/>
          <w:sz w:val="24"/>
        </w:rPr>
        <w:t>: 130280132</w:t>
      </w:r>
    </w:p>
    <w:p w:rsidR="00734C01" w:rsidRDefault="00734C01">
      <w:pPr>
        <w:rPr>
          <w:sz w:val="24"/>
        </w:rPr>
        <w:sectPr w:rsidR="00734C0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0C7F06">
      <w:pPr>
        <w:spacing w:before="218"/>
        <w:ind w:left="3702" w:right="499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34C01" w:rsidRDefault="00734C01">
      <w:pPr>
        <w:pStyle w:val="Textoindependiente"/>
        <w:rPr>
          <w:b/>
          <w:sz w:val="37"/>
        </w:rPr>
      </w:pPr>
    </w:p>
    <w:p w:rsidR="00734C01" w:rsidRDefault="000C7F06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Tepeyacapa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 xml:space="preserve">130280132,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HGOHUJ119.</w:t>
      </w:r>
    </w:p>
    <w:p w:rsidR="00734C01" w:rsidRDefault="00734C01">
      <w:pPr>
        <w:pStyle w:val="Textoindependiente"/>
        <w:spacing w:before="2"/>
        <w:rPr>
          <w:b/>
          <w:sz w:val="24"/>
        </w:rPr>
      </w:pPr>
    </w:p>
    <w:p w:rsidR="00734C01" w:rsidRDefault="000C7F06">
      <w:pPr>
        <w:pStyle w:val="Textoindependiente"/>
        <w:ind w:left="401" w:right="1700"/>
        <w:jc w:val="both"/>
      </w:pPr>
      <w:proofErr w:type="spellStart"/>
      <w:r>
        <w:rPr>
          <w:b/>
        </w:rPr>
        <w:t>Tepeyacapa</w:t>
      </w:r>
      <w:proofErr w:type="spellEnd"/>
      <w:r>
        <w:rPr>
          <w:b/>
        </w:rPr>
        <w:t xml:space="preserve"> </w:t>
      </w:r>
      <w:r>
        <w:t>mantiene una intensa vida social a</w:t>
      </w:r>
      <w:r>
        <w:t>rticulada por sus autoridades que son elegidas por un periodo un año en Asambleas Generales, a las cuales convocan a todos los</w:t>
      </w:r>
      <w:r>
        <w:rPr>
          <w:spacing w:val="-6"/>
        </w:rPr>
        <w:t xml:space="preserve"> </w:t>
      </w:r>
      <w:r>
        <w:t>vecinos.</w:t>
      </w:r>
    </w:p>
    <w:p w:rsidR="00734C01" w:rsidRDefault="00734C01">
      <w:pPr>
        <w:pStyle w:val="Textoindependiente"/>
        <w:spacing w:before="10"/>
        <w:rPr>
          <w:sz w:val="21"/>
        </w:rPr>
      </w:pPr>
    </w:p>
    <w:p w:rsidR="00734C01" w:rsidRDefault="000C7F06">
      <w:pPr>
        <w:pStyle w:val="Textoindependiente"/>
        <w:spacing w:before="1"/>
        <w:ind w:left="401" w:right="1698"/>
        <w:jc w:val="both"/>
      </w:pPr>
      <w:r>
        <w:t>La comunidad tiene un 70 por ciento de Hablantes de Lengua Indígena. Se advierte que el náhuatl es utilizado sólo por las personas mayores; ya que los jóvenes y niños están abandonando su uso porque sus padres consideran que es mejor que aprendan el castel</w:t>
      </w:r>
      <w:r>
        <w:t>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734C01" w:rsidRDefault="00734C01">
      <w:pPr>
        <w:pStyle w:val="Textoindependiente"/>
        <w:spacing w:before="11"/>
        <w:rPr>
          <w:sz w:val="21"/>
        </w:rPr>
      </w:pPr>
    </w:p>
    <w:p w:rsidR="00734C01" w:rsidRDefault="000C7F06">
      <w:pPr>
        <w:pStyle w:val="Textoindependiente"/>
        <w:ind w:left="401" w:right="1695"/>
        <w:jc w:val="both"/>
      </w:pPr>
      <w:r>
        <w:t>Sobre las prácticas culturales, se observa que la Fiesta Patronal y el Día de Muertos se celebran conservan su carácter unificador, sin embargo, es latente la pérdida de la celebración del Carnaval y otras ceremonias y ritos agrícolas.</w:t>
      </w:r>
    </w:p>
    <w:p w:rsidR="00734C01" w:rsidRDefault="00734C01">
      <w:pPr>
        <w:pStyle w:val="Textoindependiente"/>
        <w:spacing w:before="1"/>
      </w:pPr>
    </w:p>
    <w:p w:rsidR="00734C01" w:rsidRDefault="000C7F06">
      <w:pPr>
        <w:pStyle w:val="Textoindependiente"/>
        <w:ind w:left="401" w:right="1697"/>
        <w:jc w:val="both"/>
      </w:pPr>
      <w:r>
        <w:t>En cuanto a la impa</w:t>
      </w:r>
      <w:r>
        <w:t>rtición de justicia, se da principalmente al interior de la comunidad ya que la mayoría de faltas son solucionadas por el Delegado y su Comitiva; aparentemente no ha habido faltas que ameriten la intervención de autoridades municipales.</w:t>
      </w:r>
    </w:p>
    <w:p w:rsidR="00734C01" w:rsidRDefault="00734C01">
      <w:pPr>
        <w:pStyle w:val="Textoindependiente"/>
        <w:spacing w:before="11"/>
        <w:rPr>
          <w:sz w:val="21"/>
        </w:rPr>
      </w:pPr>
    </w:p>
    <w:p w:rsidR="00734C01" w:rsidRDefault="000C7F06">
      <w:pPr>
        <w:pStyle w:val="Textoindependiente"/>
        <w:ind w:left="401" w:right="1699"/>
        <w:jc w:val="both"/>
      </w:pPr>
      <w:r>
        <w:t xml:space="preserve">En relación a los </w:t>
      </w:r>
      <w:r>
        <w:t>médicos tradicionales aún se cuenta con partera y se encontró que es frecuente el uso de hierbas y tés como remedios a diversas enfermedades.</w:t>
      </w:r>
    </w:p>
    <w:p w:rsidR="00734C01" w:rsidRDefault="00734C01">
      <w:pPr>
        <w:jc w:val="both"/>
        <w:sectPr w:rsidR="00734C01">
          <w:pgSz w:w="12240" w:h="15840"/>
          <w:pgMar w:top="1060" w:right="0" w:bottom="280" w:left="1300" w:header="720" w:footer="720" w:gutter="0"/>
          <w:cols w:space="720"/>
        </w:sect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34C01">
        <w:trPr>
          <w:trHeight w:val="759"/>
        </w:trPr>
        <w:tc>
          <w:tcPr>
            <w:tcW w:w="7544" w:type="dxa"/>
            <w:gridSpan w:val="3"/>
          </w:tcPr>
          <w:p w:rsidR="00734C01" w:rsidRDefault="000C7F06">
            <w:pPr>
              <w:pStyle w:val="TableParagraph"/>
              <w:spacing w:line="193" w:lineRule="exact"/>
              <w:ind w:left="2586" w:right="252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Tepeyacapa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734C01">
        <w:trPr>
          <w:trHeight w:val="741"/>
        </w:trPr>
        <w:tc>
          <w:tcPr>
            <w:tcW w:w="4640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34C01" w:rsidRDefault="00734C01">
            <w:pPr>
              <w:pStyle w:val="TableParagraph"/>
              <w:rPr>
                <w:sz w:val="16"/>
              </w:rPr>
            </w:pPr>
          </w:p>
          <w:p w:rsidR="00734C01" w:rsidRDefault="00734C01">
            <w:pPr>
              <w:pStyle w:val="TableParagraph"/>
              <w:rPr>
                <w:sz w:val="16"/>
              </w:rPr>
            </w:pPr>
          </w:p>
          <w:p w:rsidR="00734C01" w:rsidRDefault="00734C01">
            <w:pPr>
              <w:pStyle w:val="TableParagraph"/>
              <w:spacing w:before="8"/>
              <w:rPr>
                <w:sz w:val="16"/>
              </w:rPr>
            </w:pPr>
          </w:p>
          <w:p w:rsidR="00734C01" w:rsidRDefault="000C7F0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34C01">
        <w:trPr>
          <w:trHeight w:val="189"/>
        </w:trPr>
        <w:tc>
          <w:tcPr>
            <w:tcW w:w="4640" w:type="dxa"/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34C01" w:rsidRDefault="000C7F0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34C01" w:rsidRDefault="000C7F0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HGOHUJ119</w:t>
            </w:r>
          </w:p>
        </w:tc>
      </w:tr>
      <w:tr w:rsidR="00734C01">
        <w:trPr>
          <w:trHeight w:val="369"/>
        </w:trPr>
        <w:tc>
          <w:tcPr>
            <w:tcW w:w="4640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34C01" w:rsidRDefault="000C7F0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34C01" w:rsidRDefault="000C7F0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130280132</w:t>
            </w:r>
          </w:p>
        </w:tc>
      </w:tr>
      <w:tr w:rsidR="00734C0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34C01" w:rsidRDefault="000C7F0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34C01" w:rsidRDefault="000C7F0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34C01" w:rsidRDefault="000C7F0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34C0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34C01" w:rsidRDefault="000C7F0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34C01" w:rsidRDefault="000C7F0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34C01">
        <w:trPr>
          <w:trHeight w:val="185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70.3%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5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5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5"/>
        </w:trPr>
        <w:tc>
          <w:tcPr>
            <w:tcW w:w="4640" w:type="dxa"/>
            <w:shd w:val="clear" w:color="auto" w:fill="FFFF00"/>
          </w:tcPr>
          <w:p w:rsidR="00734C01" w:rsidRDefault="000C7F0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34C01" w:rsidRDefault="000C7F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34C01" w:rsidRDefault="000C7F0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99.0%</w:t>
            </w:r>
          </w:p>
        </w:tc>
      </w:tr>
      <w:tr w:rsidR="00734C01">
        <w:trPr>
          <w:trHeight w:val="185"/>
        </w:trPr>
        <w:tc>
          <w:tcPr>
            <w:tcW w:w="4640" w:type="dxa"/>
            <w:shd w:val="clear" w:color="auto" w:fill="F9BE8F"/>
          </w:tcPr>
          <w:p w:rsidR="00734C01" w:rsidRDefault="000C7F0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34C01" w:rsidRDefault="000C7F0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34C01" w:rsidRDefault="000C7F0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734C01">
        <w:trPr>
          <w:trHeight w:val="184"/>
        </w:trPr>
        <w:tc>
          <w:tcPr>
            <w:tcW w:w="4640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34C01" w:rsidRDefault="000C7F0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34C01">
        <w:trPr>
          <w:trHeight w:val="187"/>
        </w:trPr>
        <w:tc>
          <w:tcPr>
            <w:tcW w:w="4640" w:type="dxa"/>
            <w:shd w:val="clear" w:color="auto" w:fill="DCE6F0"/>
          </w:tcPr>
          <w:p w:rsidR="00734C01" w:rsidRDefault="000C7F0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34C01" w:rsidRDefault="000C7F0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34C01" w:rsidRDefault="000C7F0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34C01">
        <w:trPr>
          <w:trHeight w:val="3141"/>
        </w:trPr>
        <w:tc>
          <w:tcPr>
            <w:tcW w:w="4640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</w:tc>
      </w:tr>
      <w:tr w:rsidR="00734C01">
        <w:trPr>
          <w:trHeight w:val="185"/>
        </w:trPr>
        <w:tc>
          <w:tcPr>
            <w:tcW w:w="7544" w:type="dxa"/>
            <w:gridSpan w:val="3"/>
          </w:tcPr>
          <w:p w:rsidR="00734C01" w:rsidRDefault="000C7F0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34C01">
        <w:trPr>
          <w:trHeight w:val="164"/>
        </w:trPr>
        <w:tc>
          <w:tcPr>
            <w:tcW w:w="4640" w:type="dxa"/>
          </w:tcPr>
          <w:p w:rsidR="00734C01" w:rsidRDefault="000C7F0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34C01" w:rsidRDefault="00734C0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34C01" w:rsidRDefault="00734C01">
            <w:pPr>
              <w:pStyle w:val="TableParagraph"/>
              <w:rPr>
                <w:sz w:val="10"/>
              </w:rPr>
            </w:pPr>
          </w:p>
        </w:tc>
      </w:tr>
    </w:tbl>
    <w:p w:rsidR="00734C01" w:rsidRDefault="00734C01">
      <w:pPr>
        <w:rPr>
          <w:sz w:val="10"/>
        </w:rPr>
        <w:sectPr w:rsidR="00734C01">
          <w:pgSz w:w="11910" w:h="16840"/>
          <w:pgMar w:top="1600" w:right="0" w:bottom="280" w:left="1680" w:header="720" w:footer="720" w:gutter="0"/>
          <w:cols w:space="720"/>
        </w:sectPr>
      </w:pPr>
    </w:p>
    <w:p w:rsidR="00734C01" w:rsidRDefault="000C7F0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34C0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line="193" w:lineRule="exact"/>
              <w:ind w:left="43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Tepeyacapa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</w:tr>
      <w:tr w:rsidR="00734C01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HGOHUJ119</w:t>
            </w:r>
          </w:p>
        </w:tc>
      </w:tr>
      <w:tr w:rsidR="00734C01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734C0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130280132</w:t>
            </w:r>
          </w:p>
        </w:tc>
      </w:tr>
      <w:tr w:rsidR="00734C0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C01" w:rsidRDefault="00734C01">
            <w:pPr>
              <w:pStyle w:val="TableParagraph"/>
              <w:spacing w:before="9"/>
              <w:rPr>
                <w:sz w:val="10"/>
              </w:rPr>
            </w:pPr>
          </w:p>
          <w:p w:rsidR="00734C01" w:rsidRDefault="000C7F0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C01" w:rsidRDefault="00734C01">
            <w:pPr>
              <w:pStyle w:val="TableParagraph"/>
              <w:spacing w:before="9"/>
              <w:rPr>
                <w:sz w:val="10"/>
              </w:rPr>
            </w:pPr>
          </w:p>
          <w:p w:rsidR="00734C01" w:rsidRDefault="000C7F0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C01" w:rsidRDefault="000C7F0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C01" w:rsidRDefault="00734C01">
            <w:pPr>
              <w:pStyle w:val="TableParagraph"/>
              <w:spacing w:before="9"/>
              <w:rPr>
                <w:sz w:val="10"/>
              </w:rPr>
            </w:pPr>
          </w:p>
          <w:p w:rsidR="00734C01" w:rsidRDefault="000C7F0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34C0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34C01" w:rsidRDefault="000C7F0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34C01" w:rsidRDefault="000C7F0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34C01" w:rsidRDefault="000C7F0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34C01" w:rsidRDefault="000C7F0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70.3%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11"/>
              <w:rPr>
                <w:sz w:val="20"/>
              </w:rPr>
            </w:pPr>
          </w:p>
          <w:p w:rsidR="00734C01" w:rsidRDefault="000C7F0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734C0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4C01" w:rsidRDefault="000C7F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4C01" w:rsidRDefault="000C7F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0C7F0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7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4C01" w:rsidRDefault="000C7F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34C01" w:rsidRDefault="000C7F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spacing w:before="10"/>
              <w:rPr>
                <w:sz w:val="17"/>
              </w:rPr>
            </w:pPr>
          </w:p>
          <w:p w:rsidR="00734C01" w:rsidRDefault="000C7F0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92D050"/>
          </w:tcPr>
          <w:p w:rsidR="00734C01" w:rsidRDefault="000C7F0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34C01" w:rsidRDefault="000C7F0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34C01" w:rsidRDefault="00734C01">
            <w:pPr>
              <w:pStyle w:val="TableParagraph"/>
              <w:spacing w:before="10"/>
              <w:rPr>
                <w:sz w:val="17"/>
              </w:rPr>
            </w:pPr>
          </w:p>
          <w:p w:rsidR="00734C01" w:rsidRDefault="000C7F0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34C01" w:rsidRDefault="000C7F0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34C01" w:rsidRDefault="000C7F0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24%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34C01" w:rsidRDefault="000C7F0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11"/>
              <w:rPr>
                <w:sz w:val="20"/>
              </w:rPr>
            </w:pPr>
          </w:p>
          <w:p w:rsidR="00734C01" w:rsidRDefault="000C7F0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34C01" w:rsidRDefault="000C7F0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34C0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0C7F0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34C01" w:rsidRDefault="00734C01">
            <w:pPr>
              <w:pStyle w:val="TableParagraph"/>
              <w:rPr>
                <w:sz w:val="14"/>
              </w:rPr>
            </w:pPr>
          </w:p>
          <w:p w:rsidR="00734C01" w:rsidRDefault="00734C01">
            <w:pPr>
              <w:pStyle w:val="TableParagraph"/>
              <w:spacing w:before="2"/>
              <w:rPr>
                <w:sz w:val="11"/>
              </w:rPr>
            </w:pPr>
          </w:p>
          <w:p w:rsidR="00734C01" w:rsidRDefault="000C7F0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34C01" w:rsidRDefault="000C7F0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34C01" w:rsidRDefault="000C7F0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34C01" w:rsidRDefault="00734C01">
            <w:pPr>
              <w:rPr>
                <w:sz w:val="2"/>
                <w:szCs w:val="2"/>
              </w:rPr>
            </w:pPr>
          </w:p>
        </w:tc>
      </w:tr>
      <w:tr w:rsidR="00734C0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34C01" w:rsidRDefault="000C7F0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34C01" w:rsidRDefault="00734C01">
      <w:pPr>
        <w:spacing w:line="107" w:lineRule="exact"/>
        <w:rPr>
          <w:sz w:val="11"/>
        </w:rPr>
        <w:sectPr w:rsidR="00734C01">
          <w:pgSz w:w="11910" w:h="16840"/>
          <w:pgMar w:top="1600" w:right="0" w:bottom="280" w:left="1680" w:header="720" w:footer="720" w:gutter="0"/>
          <w:cols w:space="720"/>
        </w:sect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10"/>
        </w:rPr>
      </w:pPr>
    </w:p>
    <w:p w:rsidR="00734C01" w:rsidRDefault="00734C01">
      <w:pPr>
        <w:pStyle w:val="Textoindependiente"/>
        <w:spacing w:before="3"/>
        <w:rPr>
          <w:sz w:val="9"/>
        </w:rPr>
      </w:pPr>
    </w:p>
    <w:p w:rsidR="00734C01" w:rsidRDefault="000C7F0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409;top:-2487;width:5268;height:4525" coordorigin="3410,-2487" coordsize="5268,4525" o:spt="100" adj="0,,0" path="m6648,-2487r-668,451l5622,-688r358,589l7718,2038,7105,695r1404,l8178,51r499,-711l8625,-805r-2216,l6648,-2487xm5980,-99l3410,814r319,676l5980,-99xm8509,695r-1404,l8575,824,8509,695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409;top:-2487;width:5268;height:5117" coordorigin="3410,-2487" coordsize="5268,5117" path="m5980,-2036r668,-451l6409,-805,7993,-1979r433,612l8677,-660,8178,51r397,773l7105,695r613,1343l5980,-99r375,2729l5980,-99,5705,533,5980,-99,3729,1490,3410,814,5980,-99,3912,-1170,5980,-99,5622,-688r358,-134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34C0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34C01" w:rsidRDefault="000C7F06">
                        <w:pPr>
                          <w:pStyle w:val="TableParagraph"/>
                          <w:spacing w:line="193" w:lineRule="exact"/>
                          <w:ind w:left="287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Tepeyacapa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4C0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34C01" w:rsidRDefault="00734C0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4C01" w:rsidRDefault="00734C0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HGOHUJ119</w:t>
                        </w:r>
                      </w:p>
                    </w:tc>
                  </w:tr>
                  <w:tr w:rsidR="00734C0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34C01" w:rsidRDefault="000C7F06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34C01" w:rsidRDefault="00734C0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34C01" w:rsidRDefault="00734C0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34C01" w:rsidRDefault="00734C0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34C01" w:rsidRDefault="000C7F0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34C01" w:rsidRDefault="000C7F0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4C01" w:rsidRDefault="000C7F06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130280132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34C0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C01" w:rsidRDefault="00734C0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34C01" w:rsidRDefault="000C7F0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34C01" w:rsidRDefault="00734C0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4C0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34C01" w:rsidRDefault="000C7F0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34C01" w:rsidRDefault="00734C0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734C01">
      <w:pPr>
        <w:pStyle w:val="Textoindependiente"/>
        <w:rPr>
          <w:sz w:val="20"/>
        </w:rPr>
      </w:pPr>
    </w:p>
    <w:p w:rsidR="00734C01" w:rsidRDefault="000C7F0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34C0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4C01"/>
    <w:rsid w:val="000C7F06"/>
    <w:rsid w:val="007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37D826"/>
  <w15:docId w15:val="{CC6DAEEA-E99B-4B55-93AD-B0392C2F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2019-05-28T23:58:00Z</dcterms:created>
  <dcterms:modified xsi:type="dcterms:W3CDTF">2019-05-29T15:49:00Z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