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4F" w:rsidRDefault="004F0B6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51B33B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spacing w:before="1"/>
        <w:rPr>
          <w:sz w:val="28"/>
        </w:rPr>
      </w:pPr>
    </w:p>
    <w:p w:rsidR="008E754F" w:rsidRDefault="004F0B65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Xiquila</w:t>
      </w:r>
      <w:proofErr w:type="spellEnd"/>
    </w:p>
    <w:p w:rsidR="008E754F" w:rsidRDefault="004F0B65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HGOHUJ131</w:t>
      </w: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spacing w:before="10"/>
        <w:rPr>
          <w:sz w:val="18"/>
        </w:rPr>
      </w:pPr>
    </w:p>
    <w:p w:rsidR="008E754F" w:rsidRDefault="004F0B6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Xiquila</w:t>
      </w:r>
      <w:proofErr w:type="spellEnd"/>
      <w:r>
        <w:rPr>
          <w:color w:val="231F20"/>
          <w:sz w:val="24"/>
        </w:rPr>
        <w:t>: 130280103</w:t>
      </w:r>
    </w:p>
    <w:p w:rsidR="008E754F" w:rsidRDefault="008E754F">
      <w:pPr>
        <w:jc w:val="right"/>
        <w:rPr>
          <w:sz w:val="24"/>
        </w:rPr>
        <w:sectPr w:rsidR="008E754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4F0B65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E754F" w:rsidRDefault="008E754F">
      <w:pPr>
        <w:pStyle w:val="Textoindependiente"/>
        <w:spacing w:before="8"/>
        <w:rPr>
          <w:b/>
          <w:sz w:val="40"/>
        </w:rPr>
      </w:pPr>
    </w:p>
    <w:p w:rsidR="008E754F" w:rsidRDefault="004F0B65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Xiquila</w:t>
      </w:r>
      <w:proofErr w:type="spellEnd"/>
      <w:r>
        <w:t xml:space="preserve">, del Municipio de Huejutla de Reyes, </w:t>
      </w:r>
      <w:r>
        <w:t xml:space="preserve">con clave INEGI </w:t>
      </w:r>
      <w:r>
        <w:rPr>
          <w:b/>
        </w:rPr>
        <w:t>130280103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HGOHUJ131</w:t>
      </w:r>
      <w:r>
        <w:t>.</w:t>
      </w:r>
    </w:p>
    <w:p w:rsidR="008E754F" w:rsidRDefault="008E754F">
      <w:pPr>
        <w:pStyle w:val="Textoindependiente"/>
        <w:rPr>
          <w:sz w:val="24"/>
        </w:rPr>
      </w:pPr>
    </w:p>
    <w:p w:rsidR="008E754F" w:rsidRDefault="004F0B65">
      <w:pPr>
        <w:pStyle w:val="Textoindependiente"/>
        <w:ind w:left="401" w:right="1698"/>
        <w:jc w:val="both"/>
      </w:pPr>
      <w:proofErr w:type="spellStart"/>
      <w:r>
        <w:rPr>
          <w:b/>
        </w:rPr>
        <w:t>Xiquila</w:t>
      </w:r>
      <w:proofErr w:type="spellEnd"/>
      <w:r>
        <w:rPr>
          <w:b/>
        </w:rPr>
        <w:t xml:space="preserve"> </w:t>
      </w:r>
      <w:r>
        <w:t xml:space="preserve">mantiene una intensa vida social que es </w:t>
      </w:r>
      <w:r>
        <w:t>articulada por sus autoridades que son elegidas por un periodo de un año en Asambleas Generales, a las cuales son convocados todos los habitantes de la comunidad.</w:t>
      </w:r>
    </w:p>
    <w:p w:rsidR="008E754F" w:rsidRDefault="008E754F">
      <w:pPr>
        <w:pStyle w:val="Textoindependiente"/>
        <w:spacing w:before="1"/>
      </w:pPr>
    </w:p>
    <w:p w:rsidR="008E754F" w:rsidRDefault="004F0B65">
      <w:pPr>
        <w:pStyle w:val="Textoindependiente"/>
        <w:ind w:left="401" w:right="1696"/>
        <w:jc w:val="both"/>
      </w:pPr>
      <w:r>
        <w:t>El 89 por ciento son Hablantes de Lengua Indígena, con el náhuatl como primera lengua, es un</w:t>
      </w:r>
      <w:r>
        <w:t xml:space="preserve"> elemento que expresa la conservación de aquello que permite su adscripción como indígena.</w:t>
      </w:r>
    </w:p>
    <w:p w:rsidR="008E754F" w:rsidRDefault="008E754F">
      <w:pPr>
        <w:pStyle w:val="Textoindependiente"/>
        <w:spacing w:before="11"/>
        <w:rPr>
          <w:sz w:val="21"/>
        </w:rPr>
      </w:pPr>
    </w:p>
    <w:p w:rsidR="008E754F" w:rsidRDefault="004F0B65">
      <w:pPr>
        <w:pStyle w:val="Textoindependiente"/>
        <w:ind w:left="401" w:right="1697"/>
        <w:jc w:val="both"/>
      </w:pPr>
      <w:r>
        <w:t>Sobre las prácticas culturales, se observa que la Fiesta Patronal, Carnaval y el Día de Muertos conservan su carácter unificador. También se constató que otras ceremonias y ritos agrícolas siguen presentes a través de ofrendas como preparación para prepara</w:t>
      </w:r>
      <w:r>
        <w:t>r la siembra.</w:t>
      </w:r>
    </w:p>
    <w:p w:rsidR="008E754F" w:rsidRDefault="008E754F">
      <w:pPr>
        <w:pStyle w:val="Textoindependiente"/>
        <w:spacing w:before="11"/>
        <w:rPr>
          <w:sz w:val="21"/>
        </w:rPr>
      </w:pPr>
    </w:p>
    <w:p w:rsidR="008E754F" w:rsidRDefault="004F0B65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Aparentemente no ha habido faltas que ameriten la intervención de autoridade</w:t>
      </w:r>
      <w:r>
        <w:t>s municipales.</w:t>
      </w:r>
    </w:p>
    <w:p w:rsidR="008E754F" w:rsidRDefault="008E754F">
      <w:pPr>
        <w:pStyle w:val="Textoindependiente"/>
      </w:pPr>
    </w:p>
    <w:p w:rsidR="008E754F" w:rsidRDefault="004F0B65">
      <w:pPr>
        <w:pStyle w:val="Textoindependiente"/>
        <w:spacing w:before="1"/>
        <w:ind w:left="401" w:right="1698"/>
        <w:jc w:val="both"/>
      </w:pPr>
      <w:r>
        <w:t>La apertura del centro de salud ha provocado que menos personas acudan a la medicina tradicional para curar sus padecimientos, sin embargo, se mantiene en la comunidad el sobador y la partera; entre las “enfermedades culturales” que manifie</w:t>
      </w:r>
      <w:r>
        <w:t>stan se encuentran la caída de la mollera y el empacho.</w:t>
      </w:r>
    </w:p>
    <w:p w:rsidR="008E754F" w:rsidRDefault="008E754F">
      <w:pPr>
        <w:jc w:val="both"/>
        <w:sectPr w:rsidR="008E754F">
          <w:pgSz w:w="12240" w:h="15840"/>
          <w:pgMar w:top="1060" w:right="0" w:bottom="280" w:left="1300" w:header="720" w:footer="720" w:gutter="0"/>
          <w:cols w:space="720"/>
        </w:sect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E754F">
        <w:trPr>
          <w:trHeight w:val="759"/>
        </w:trPr>
        <w:tc>
          <w:tcPr>
            <w:tcW w:w="7544" w:type="dxa"/>
            <w:gridSpan w:val="3"/>
          </w:tcPr>
          <w:p w:rsidR="008E754F" w:rsidRDefault="004F0B65">
            <w:pPr>
              <w:pStyle w:val="TableParagraph"/>
              <w:spacing w:line="193" w:lineRule="exact"/>
              <w:ind w:left="2760" w:right="270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Xiquila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8E754F">
        <w:trPr>
          <w:trHeight w:val="741"/>
        </w:trPr>
        <w:tc>
          <w:tcPr>
            <w:tcW w:w="4640" w:type="dxa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E754F" w:rsidRDefault="008E754F">
            <w:pPr>
              <w:pStyle w:val="TableParagraph"/>
              <w:rPr>
                <w:sz w:val="16"/>
              </w:rPr>
            </w:pPr>
          </w:p>
          <w:p w:rsidR="008E754F" w:rsidRDefault="008E754F">
            <w:pPr>
              <w:pStyle w:val="TableParagraph"/>
              <w:rPr>
                <w:sz w:val="16"/>
              </w:rPr>
            </w:pPr>
          </w:p>
          <w:p w:rsidR="008E754F" w:rsidRDefault="008E754F">
            <w:pPr>
              <w:pStyle w:val="TableParagraph"/>
              <w:spacing w:before="8"/>
              <w:rPr>
                <w:sz w:val="16"/>
              </w:rPr>
            </w:pPr>
          </w:p>
          <w:p w:rsidR="008E754F" w:rsidRDefault="004F0B6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E754F">
        <w:trPr>
          <w:trHeight w:val="189"/>
        </w:trPr>
        <w:tc>
          <w:tcPr>
            <w:tcW w:w="4640" w:type="dxa"/>
          </w:tcPr>
          <w:p w:rsidR="008E754F" w:rsidRDefault="008E754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E754F" w:rsidRDefault="004F0B6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E754F" w:rsidRDefault="004F0B6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HGOHUJ131</w:t>
            </w:r>
          </w:p>
        </w:tc>
      </w:tr>
      <w:tr w:rsidR="008E754F">
        <w:trPr>
          <w:trHeight w:val="369"/>
        </w:trPr>
        <w:tc>
          <w:tcPr>
            <w:tcW w:w="4640" w:type="dxa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E754F" w:rsidRDefault="004F0B6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E754F" w:rsidRDefault="004F0B6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130280103</w:t>
            </w:r>
          </w:p>
        </w:tc>
      </w:tr>
      <w:tr w:rsidR="008E754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E754F" w:rsidRDefault="004F0B6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E754F" w:rsidRDefault="004F0B6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E754F" w:rsidRDefault="004F0B6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E754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E754F" w:rsidRDefault="004F0B6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E754F" w:rsidRDefault="004F0B6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E754F">
        <w:trPr>
          <w:trHeight w:val="185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5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5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5"/>
        </w:trPr>
        <w:tc>
          <w:tcPr>
            <w:tcW w:w="4640" w:type="dxa"/>
            <w:shd w:val="clear" w:color="auto" w:fill="FFFF00"/>
          </w:tcPr>
          <w:p w:rsidR="008E754F" w:rsidRDefault="004F0B6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E754F" w:rsidRDefault="004F0B6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E754F" w:rsidRDefault="004F0B6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5"/>
        </w:trPr>
        <w:tc>
          <w:tcPr>
            <w:tcW w:w="4640" w:type="dxa"/>
            <w:shd w:val="clear" w:color="auto" w:fill="F9BE8F"/>
          </w:tcPr>
          <w:p w:rsidR="008E754F" w:rsidRDefault="004F0B6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E754F" w:rsidRDefault="004F0B6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E754F" w:rsidRDefault="004F0B6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4"/>
        </w:trPr>
        <w:tc>
          <w:tcPr>
            <w:tcW w:w="4640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E754F" w:rsidRDefault="004F0B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E754F">
        <w:trPr>
          <w:trHeight w:val="187"/>
        </w:trPr>
        <w:tc>
          <w:tcPr>
            <w:tcW w:w="4640" w:type="dxa"/>
            <w:shd w:val="clear" w:color="auto" w:fill="DCE6F0"/>
          </w:tcPr>
          <w:p w:rsidR="008E754F" w:rsidRDefault="004F0B6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E754F" w:rsidRDefault="004F0B6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E754F" w:rsidRDefault="004F0B6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E754F">
        <w:trPr>
          <w:trHeight w:val="3141"/>
        </w:trPr>
        <w:tc>
          <w:tcPr>
            <w:tcW w:w="4640" w:type="dxa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</w:tc>
      </w:tr>
      <w:tr w:rsidR="008E754F">
        <w:trPr>
          <w:trHeight w:val="185"/>
        </w:trPr>
        <w:tc>
          <w:tcPr>
            <w:tcW w:w="7544" w:type="dxa"/>
            <w:gridSpan w:val="3"/>
          </w:tcPr>
          <w:p w:rsidR="008E754F" w:rsidRDefault="004F0B6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E754F">
        <w:trPr>
          <w:trHeight w:val="164"/>
        </w:trPr>
        <w:tc>
          <w:tcPr>
            <w:tcW w:w="4640" w:type="dxa"/>
          </w:tcPr>
          <w:p w:rsidR="008E754F" w:rsidRDefault="004F0B6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E754F" w:rsidRDefault="008E754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E754F" w:rsidRDefault="008E754F">
            <w:pPr>
              <w:pStyle w:val="TableParagraph"/>
              <w:rPr>
                <w:sz w:val="10"/>
              </w:rPr>
            </w:pPr>
          </w:p>
        </w:tc>
      </w:tr>
    </w:tbl>
    <w:p w:rsidR="008E754F" w:rsidRDefault="008E754F">
      <w:pPr>
        <w:rPr>
          <w:sz w:val="10"/>
        </w:rPr>
        <w:sectPr w:rsidR="008E754F">
          <w:pgSz w:w="11910" w:h="16840"/>
          <w:pgMar w:top="1600" w:right="0" w:bottom="280" w:left="1680" w:header="720" w:footer="720" w:gutter="0"/>
          <w:cols w:space="720"/>
        </w:sectPr>
      </w:pPr>
    </w:p>
    <w:p w:rsidR="008E754F" w:rsidRDefault="004F0B6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E754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8E754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4F0B65">
            <w:pPr>
              <w:pStyle w:val="TableParagraph"/>
              <w:spacing w:line="193" w:lineRule="exact"/>
              <w:ind w:left="6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Xiquila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8E754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8E754F">
            <w:pPr>
              <w:pStyle w:val="TableParagraph"/>
              <w:rPr>
                <w:sz w:val="12"/>
              </w:rPr>
            </w:pPr>
          </w:p>
        </w:tc>
      </w:tr>
      <w:tr w:rsidR="008E754F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8E754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8E754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4F0B65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4F0B65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HGOHUJ131</w:t>
            </w:r>
          </w:p>
        </w:tc>
      </w:tr>
      <w:tr w:rsidR="008E754F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8E754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8E754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4F0B65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E754F" w:rsidRDefault="004F0B65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130280103</w:t>
            </w:r>
          </w:p>
        </w:tc>
      </w:tr>
      <w:tr w:rsidR="008E754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E754F" w:rsidRDefault="008E754F">
            <w:pPr>
              <w:pStyle w:val="TableParagraph"/>
              <w:spacing w:before="9"/>
              <w:rPr>
                <w:sz w:val="10"/>
              </w:rPr>
            </w:pPr>
          </w:p>
          <w:p w:rsidR="008E754F" w:rsidRDefault="004F0B6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E754F" w:rsidRDefault="008E754F">
            <w:pPr>
              <w:pStyle w:val="TableParagraph"/>
              <w:spacing w:before="9"/>
              <w:rPr>
                <w:sz w:val="10"/>
              </w:rPr>
            </w:pPr>
          </w:p>
          <w:p w:rsidR="008E754F" w:rsidRDefault="004F0B6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E754F" w:rsidRDefault="004F0B6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E754F" w:rsidRDefault="008E754F">
            <w:pPr>
              <w:pStyle w:val="TableParagraph"/>
              <w:spacing w:before="9"/>
              <w:rPr>
                <w:sz w:val="10"/>
              </w:rPr>
            </w:pPr>
          </w:p>
          <w:p w:rsidR="008E754F" w:rsidRDefault="004F0B6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E754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E754F" w:rsidRDefault="004F0B6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E754F" w:rsidRDefault="004F0B6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E754F" w:rsidRDefault="004F0B65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E754F" w:rsidRDefault="004F0B6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89.0%</w:t>
            </w: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11"/>
              <w:rPr>
                <w:sz w:val="20"/>
              </w:rPr>
            </w:pPr>
          </w:p>
          <w:p w:rsidR="008E754F" w:rsidRDefault="004F0B6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8E754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E754F" w:rsidRDefault="004F0B6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7"/>
              </w:rPr>
            </w:pPr>
          </w:p>
          <w:p w:rsidR="008E754F" w:rsidRDefault="004F0B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E754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spacing w:before="10"/>
              <w:rPr>
                <w:sz w:val="17"/>
              </w:rPr>
            </w:pPr>
          </w:p>
          <w:p w:rsidR="008E754F" w:rsidRDefault="004F0B6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92D050"/>
          </w:tcPr>
          <w:p w:rsidR="008E754F" w:rsidRDefault="004F0B6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E754F" w:rsidRDefault="008E754F">
            <w:pPr>
              <w:pStyle w:val="TableParagraph"/>
              <w:spacing w:before="10"/>
              <w:rPr>
                <w:sz w:val="17"/>
              </w:rPr>
            </w:pPr>
          </w:p>
          <w:p w:rsidR="008E754F" w:rsidRDefault="004F0B6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11"/>
              <w:rPr>
                <w:sz w:val="20"/>
              </w:rPr>
            </w:pPr>
          </w:p>
          <w:p w:rsidR="008E754F" w:rsidRDefault="004F0B6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E754F" w:rsidRDefault="004F0B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E754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4F0B6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E754F" w:rsidRDefault="008E754F">
            <w:pPr>
              <w:pStyle w:val="TableParagraph"/>
              <w:rPr>
                <w:sz w:val="14"/>
              </w:rPr>
            </w:pPr>
          </w:p>
          <w:p w:rsidR="008E754F" w:rsidRDefault="008E754F">
            <w:pPr>
              <w:pStyle w:val="TableParagraph"/>
              <w:spacing w:before="2"/>
              <w:rPr>
                <w:sz w:val="11"/>
              </w:rPr>
            </w:pPr>
          </w:p>
          <w:p w:rsidR="008E754F" w:rsidRDefault="004F0B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E754F" w:rsidRDefault="004F0B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E754F" w:rsidRDefault="004F0B6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E754F" w:rsidRDefault="008E754F">
            <w:pPr>
              <w:rPr>
                <w:sz w:val="2"/>
                <w:szCs w:val="2"/>
              </w:rPr>
            </w:pPr>
          </w:p>
        </w:tc>
      </w:tr>
      <w:tr w:rsidR="008E754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E754F" w:rsidRDefault="004F0B6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E754F" w:rsidRDefault="008E754F">
      <w:pPr>
        <w:spacing w:line="107" w:lineRule="exact"/>
        <w:rPr>
          <w:sz w:val="11"/>
        </w:rPr>
        <w:sectPr w:rsidR="008E754F">
          <w:pgSz w:w="11910" w:h="16840"/>
          <w:pgMar w:top="1600" w:right="0" w:bottom="280" w:left="1680" w:header="720" w:footer="720" w:gutter="0"/>
          <w:cols w:space="720"/>
        </w:sect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10"/>
        </w:rPr>
      </w:pPr>
    </w:p>
    <w:p w:rsidR="008E754F" w:rsidRDefault="008E754F">
      <w:pPr>
        <w:pStyle w:val="Textoindependiente"/>
        <w:spacing w:before="3"/>
        <w:rPr>
          <w:sz w:val="9"/>
        </w:rPr>
      </w:pPr>
    </w:p>
    <w:p w:rsidR="008E754F" w:rsidRDefault="004F0B6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454,1796r-1298,l5604,2630r751,l6454,1796xm3966,-1979r-433,612l3282,-660,3231,89r153,735l3729,1490r512,548l5156,1796r1298,l6528,1164r1871,l8575,824,8728,89r-51,-749l8426,-1367r-103,-145l6838,-1512r-33,-353l4906,-1865r-940,-114xm8399,1164r-1871,l7718,2038r512,-548l8399,1164xm7993,-1979r-1155,467l8323,-1512r-330,-467xm6723,-2752r-743,202l4906,-1865r1899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50r743,-202l6838,-1512r1155,-467l8426,-1367r251,707l8728,89,8575,824r-345,666l7718,2038,6528,1164,6355,2630r-751,l5156,1796r-915,242l3729,1490,3384,824,3231,89r51,-749l3533,-1367r433,-612l4906,-1865r1074,-68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8E754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8E754F" w:rsidRDefault="004F0B65">
                        <w:pPr>
                          <w:pStyle w:val="TableParagraph"/>
                          <w:spacing w:line="193" w:lineRule="exact"/>
                          <w:ind w:left="305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Xiquila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E754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8E754F" w:rsidRDefault="008E754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E754F" w:rsidRDefault="008E754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HGOHUJ131</w:t>
                        </w:r>
                      </w:p>
                    </w:tc>
                  </w:tr>
                  <w:tr w:rsidR="008E754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8E754F" w:rsidRDefault="004F0B6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E754F" w:rsidRDefault="008E754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E754F" w:rsidRDefault="008E754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E754F" w:rsidRDefault="008E754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E754F" w:rsidRDefault="004F0B65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E754F" w:rsidRDefault="004F0B6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E754F" w:rsidRDefault="004F0B6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130280103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E754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E754F" w:rsidRDefault="008E754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E754F" w:rsidRDefault="004F0B6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E754F" w:rsidRDefault="008E754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E754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8E754F" w:rsidRDefault="004F0B6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E754F" w:rsidRDefault="008E754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8E754F">
      <w:pPr>
        <w:pStyle w:val="Textoindependiente"/>
        <w:rPr>
          <w:sz w:val="20"/>
        </w:rPr>
      </w:pPr>
    </w:p>
    <w:p w:rsidR="008E754F" w:rsidRDefault="004F0B6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E754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754F"/>
    <w:rsid w:val="004F0B65"/>
    <w:rsid w:val="008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0F3645"/>
  <w15:docId w15:val="{01DC5A1E-0BC4-450F-AAC4-9EC6D485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2019-05-29T00:05:00Z</dcterms:created>
  <dcterms:modified xsi:type="dcterms:W3CDTF">2019-05-29T16:01:00Z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