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before="82"/>
        <w:ind w:left="3717" w:right="5015" w:firstLine="0"/>
        <w:jc w:val="center"/>
        <w:rPr>
          <w:b/>
          <w:sz w:val="44"/>
        </w:rPr>
      </w:pPr>
      <w:r>
        <w:rPr>
          <w:b/>
          <w:color w:val="231F20"/>
          <w:sz w:val="44"/>
        </w:rPr>
        <w:t>El Xúchitl</w:t>
      </w:r>
    </w:p>
    <w:p>
      <w:pPr>
        <w:spacing w:before="16"/>
        <w:ind w:left="3717" w:right="5015" w:firstLine="0"/>
        <w:jc w:val="center"/>
        <w:rPr>
          <w:sz w:val="24"/>
        </w:rPr>
      </w:pPr>
      <w:r>
        <w:rPr/>
        <w:drawing>
          <wp:anchor distT="0" distB="0" distL="0" distR="0" allowOverlap="1" layoutInCell="1" locked="0" behindDoc="0" simplePos="0" relativeHeight="251658240">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HGOSBT016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spacing w:before="0"/>
        <w:ind w:left="0" w:right="1415" w:firstLine="0"/>
        <w:jc w:val="right"/>
        <w:rPr>
          <w:sz w:val="24"/>
        </w:rPr>
      </w:pPr>
      <w:r>
        <w:rPr>
          <w:color w:val="231F20"/>
          <w:sz w:val="24"/>
        </w:rPr>
        <w:t>El Xúchitl: 130530111</w:t>
      </w:r>
    </w:p>
    <w:p>
      <w:pPr>
        <w:spacing w:after="0"/>
        <w:jc w:val="righ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717" w:right="5014" w:firstLine="0"/>
        <w:jc w:val="center"/>
        <w:rPr>
          <w:b/>
          <w:sz w:val="32"/>
        </w:rPr>
      </w:pPr>
      <w:r>
        <w:rPr>
          <w:b/>
          <w:sz w:val="32"/>
        </w:rPr>
        <w:t>DICTAMEN</w:t>
      </w:r>
    </w:p>
    <w:p>
      <w:pPr>
        <w:pStyle w:val="BodyText"/>
        <w:spacing w:before="5"/>
        <w:rPr>
          <w:b/>
          <w:sz w:val="41"/>
        </w:rPr>
      </w:pPr>
    </w:p>
    <w:p>
      <w:pPr>
        <w:pStyle w:val="Heading1"/>
        <w:ind w:left="401" w:right="1697"/>
        <w:jc w:val="both"/>
        <w:rPr>
          <w:b/>
        </w:rPr>
      </w:pPr>
      <w:r>
        <w:rPr/>
        <w:pict>
          <v:shape style="position:absolute;margin-left:150.790787pt;margin-top:118.854523pt;width:309.9pt;height:111.6pt;mso-position-horizontal-relative:page;mso-position-vertical-relative:paragraph;z-index:-253116416;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w:t>
      </w:r>
      <w:r>
        <w:rPr>
          <w:b/>
          <w:sz w:val="32"/>
        </w:rPr>
        <w:t>El Xúchitl, </w:t>
      </w:r>
      <w:r>
        <w:rPr/>
        <w:t>del Municipio de San BartoloTutotepec, con clave INEGI </w:t>
      </w:r>
      <w:r>
        <w:rPr>
          <w:b/>
        </w:rPr>
        <w:t>130530111</w:t>
      </w:r>
      <w:r>
        <w:rPr/>
        <w:t>, reúne las estructuras sociales y culturales para ser considerada como </w:t>
      </w:r>
      <w:r>
        <w:rPr>
          <w:b/>
        </w:rPr>
        <w:t>INDÍGENA </w:t>
      </w:r>
      <w:r>
        <w:rPr/>
        <w:t>y ser incluida en el </w:t>
      </w:r>
      <w:r>
        <w:rPr>
          <w:b/>
        </w:rPr>
        <w:t>Catálogo de Comunidades Indígenas del Estado de Hidalgo </w:t>
      </w:r>
      <w:r>
        <w:rPr/>
        <w:t>con la clave </w:t>
      </w:r>
      <w:r>
        <w:rPr>
          <w:b/>
        </w:rPr>
        <w:t>HGOSBT016.</w:t>
      </w:r>
    </w:p>
    <w:p>
      <w:pPr>
        <w:pStyle w:val="BodyText"/>
        <w:spacing w:before="1"/>
        <w:rPr>
          <w:b/>
          <w:sz w:val="24"/>
        </w:rPr>
      </w:pPr>
    </w:p>
    <w:p>
      <w:pPr>
        <w:pStyle w:val="BodyText"/>
        <w:ind w:left="401" w:right="1697"/>
        <w:jc w:val="both"/>
      </w:pPr>
      <w:r>
        <w:rPr>
          <w:b/>
        </w:rPr>
        <w:t>El Xúchitl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w:t>
      </w:r>
      <w:r>
        <w:rPr>
          <w:spacing w:val="-1"/>
        </w:rPr>
        <w:t> </w:t>
      </w:r>
      <w:r>
        <w:rPr/>
        <w:t>Delegados.</w:t>
      </w:r>
    </w:p>
    <w:p>
      <w:pPr>
        <w:pStyle w:val="BodyText"/>
      </w:pPr>
    </w:p>
    <w:p>
      <w:pPr>
        <w:pStyle w:val="BodyText"/>
        <w:ind w:left="401" w:right="1696"/>
        <w:jc w:val="both"/>
      </w:pPr>
      <w:r>
        <w:rPr/>
        <w:t>Si bien esta comunidad tiene un significativo 85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spacing w:before="11"/>
        <w:rPr>
          <w:sz w:val="21"/>
        </w:rPr>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últimas fechas. De igual forma ya no se observa música, ni danza tradicional, mucho menos la elaboración de artesanías.</w:t>
      </w:r>
    </w:p>
    <w:p>
      <w:pPr>
        <w:pStyle w:val="BodyText"/>
        <w:spacing w:before="1"/>
        <w:rPr>
          <w:sz w:val="20"/>
        </w:rPr>
      </w:pPr>
    </w:p>
    <w:p>
      <w:pPr>
        <w:pStyle w:val="BodyText"/>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1"/>
        <w:rPr>
          <w:sz w:val="21"/>
        </w:rPr>
      </w:pPr>
    </w:p>
    <w:p>
      <w:pPr>
        <w:pStyle w:val="BodyText"/>
        <w:ind w:left="401" w:right="1698"/>
        <w:jc w:val="both"/>
      </w:pPr>
      <w:r>
        <w:rPr/>
        <w:t>La apertura del centro de salud ha provocado que menos personas acudan a la medicina tradicional para curar sus enfermedades, sin embargo, los habitantes manifestaron “enfermedades culturales”.</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5392;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674" w:right="2572"/>
              <w:jc w:val="center"/>
              <w:rPr>
                <w:b/>
                <w:sz w:val="18"/>
              </w:rPr>
            </w:pPr>
            <w:r>
              <w:rPr>
                <w:b/>
                <w:w w:val="105"/>
                <w:sz w:val="18"/>
              </w:rPr>
              <w:t>El Xúchitl, San Bartolo 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HGOSBT016</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130530111</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84.0%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90.0%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40.0%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25.0%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25.0%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0.0%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100.0%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70.0%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6" w:lineRule="exact"/>
              <w:ind w:left="373"/>
              <w:rPr>
                <w:b/>
                <w:sz w:val="18"/>
              </w:rPr>
            </w:pPr>
            <w:r>
              <w:rPr>
                <w:b/>
                <w:w w:val="105"/>
                <w:sz w:val="18"/>
              </w:rPr>
              <w:t>El Xúchitl, San Bartolo Tutotepec</w:t>
            </w:r>
          </w:p>
        </w:tc>
        <w:tc>
          <w:tcPr>
            <w:tcW w:w="950" w:type="dxa"/>
            <w:tcBorders>
              <w:top w:val="nil"/>
              <w:left w:val="nil"/>
              <w:bottom w:val="nil"/>
              <w:right w:val="nil"/>
            </w:tcBorders>
          </w:tcPr>
          <w:p>
            <w:pPr>
              <w:pStyle w:val="TableParagraph"/>
              <w:rPr>
                <w:sz w:val="12"/>
              </w:rPr>
            </w:pPr>
          </w:p>
        </w:tc>
        <w:tc>
          <w:tcPr>
            <w:tcW w:w="969" w:type="dxa"/>
            <w:tcBorders>
              <w:top w:val="nil"/>
              <w:left w:val="nil"/>
              <w:bottom w:val="nil"/>
              <w:right w:val="nil"/>
            </w:tcBorders>
          </w:tcPr>
          <w:p>
            <w:pPr>
              <w:pStyle w:val="TableParagraph"/>
              <w:rPr>
                <w:sz w:val="12"/>
              </w:rPr>
            </w:pPr>
          </w:p>
        </w:tc>
      </w:tr>
      <w:tr>
        <w:trPr>
          <w:trHeight w:val="226"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line="155" w:lineRule="exact" w:before="51"/>
              <w:ind w:right="24"/>
              <w:jc w:val="right"/>
              <w:rPr>
                <w:sz w:val="14"/>
              </w:rPr>
            </w:pPr>
            <w:r>
              <w:rPr>
                <w:sz w:val="14"/>
              </w:rPr>
              <w:t>HGOSBT016</w:t>
            </w:r>
          </w:p>
        </w:tc>
      </w:tr>
      <w:tr>
        <w:trPr>
          <w:trHeight w:val="385"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9"/>
              <w:ind w:left="33"/>
              <w:rPr>
                <w:sz w:val="14"/>
              </w:rPr>
            </w:pPr>
            <w:r>
              <w:rPr>
                <w:w w:val="105"/>
                <w:sz w:val="14"/>
              </w:rPr>
              <w:t>Clave INEGI</w:t>
            </w:r>
          </w:p>
        </w:tc>
        <w:tc>
          <w:tcPr>
            <w:tcW w:w="969" w:type="dxa"/>
            <w:tcBorders>
              <w:top w:val="nil"/>
              <w:left w:val="nil"/>
              <w:bottom w:val="nil"/>
              <w:right w:val="nil"/>
            </w:tcBorders>
          </w:tcPr>
          <w:p>
            <w:pPr>
              <w:pStyle w:val="TableParagraph"/>
              <w:spacing w:before="12"/>
              <w:ind w:right="22"/>
              <w:jc w:val="right"/>
              <w:rPr>
                <w:sz w:val="14"/>
              </w:rPr>
            </w:pPr>
            <w:r>
              <w:rPr>
                <w:w w:val="105"/>
                <w:sz w:val="14"/>
              </w:rPr>
              <w:t>130530111</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84%</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84.0%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90.0%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40.0%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shd w:val="clear" w:color="auto" w:fill="92D05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6"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100%</w:t>
            </w:r>
          </w:p>
        </w:tc>
        <w:tc>
          <w:tcPr>
            <w:tcW w:w="969" w:type="dxa"/>
            <w:shd w:val="clear" w:color="auto" w:fill="FFFF00"/>
          </w:tcPr>
          <w:p>
            <w:pPr>
              <w:pStyle w:val="TableParagraph"/>
              <w:spacing w:line="141" w:lineRule="exact" w:before="21"/>
              <w:ind w:right="12"/>
              <w:jc w:val="right"/>
              <w:rPr>
                <w:b/>
                <w:sz w:val="13"/>
              </w:rPr>
            </w:pPr>
            <w:r>
              <w:rPr>
                <w:b/>
                <w:sz w:val="13"/>
              </w:rPr>
              <w:t>100.0%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100%</w:t>
            </w:r>
          </w:p>
        </w:tc>
        <w:tc>
          <w:tcPr>
            <w:tcW w:w="969" w:type="dxa"/>
            <w:shd w:val="clear" w:color="auto" w:fill="F9C09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6" w:lineRule="exact" w:before="16"/>
              <w:ind w:right="14"/>
              <w:jc w:val="right"/>
              <w:rPr>
                <w:sz w:val="13"/>
              </w:rPr>
            </w:pPr>
            <w:r>
              <w:rPr>
                <w:sz w:val="13"/>
              </w:rPr>
              <w:t>25%</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5" w:lineRule="exact" w:before="16"/>
              <w:ind w:right="14"/>
              <w:jc w:val="right"/>
              <w:rPr>
                <w:sz w:val="13"/>
              </w:rPr>
            </w:pPr>
            <w:r>
              <w:rPr>
                <w:sz w:val="13"/>
              </w:rPr>
              <w:t>20%</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70.0%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4368;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0.860001pt;margin-top:-323.652039pt;width:291.3pt;height:290.650pt;mso-position-horizontal-relative:page;mso-position-vertical-relative:paragraph;z-index:251663360" coordorigin="3217,-6473" coordsize="5826,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3244;top:-6081;width:5741;height:5394" coordorigin="3244,-6080" coordsize="5741,5394" path="m6431,-2898l5852,-2898,5746,-687,6438,-1406,6431,-2898xm6141,-3564l4309,-1311,5852,-2898,6431,-2898,6141,-3564xm4633,-6045l6141,-3564,8514,-1889,8878,-2591,7300,-3484,8985,-4155,8754,-4804,6896,-4804,6849,-6003,6141,-6003,4633,-6045xm4336,-4499l3298,-4155,3244,-3366,6141,-3564,4336,-4499xm8264,-5546l6896,-4804,8754,-4804,8720,-4900,8264,-5546xm6846,-6080l6141,-6003,6849,-6003,6846,-6080xe" filled="true" fillcolor="#9bba58" stroked="false">
              <v:path arrowok="t"/>
              <v:fill type="solid"/>
            </v:shape>
            <v:shape style="position:absolute;left:3244;top:-6081;width:5741;height:5394" coordorigin="3244,-6080" coordsize="5741,5394" path="m6141,-6003l6846,-6080,6896,-4804,8264,-5546,8720,-4900,8985,-4155,7300,-3484,8878,-2591,8514,-1889,6141,-3564,6431,-2898,6438,-1406,5746,-687,5852,-2898,4309,-1311,6141,-3564,3244,-3366,3298,-4155,4336,-4499,6141,-3564,4633,-6045,6141,-6003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920593pt;margin-top:-415.492859pt;width:438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7"/>
                    <w:gridCol w:w="1083"/>
                  </w:tblGrid>
                  <w:tr>
                    <w:trPr>
                      <w:trHeight w:val="400" w:hRule="atLeast"/>
                    </w:trPr>
                    <w:tc>
                      <w:tcPr>
                        <w:tcW w:w="7677" w:type="dxa"/>
                      </w:tcPr>
                      <w:p>
                        <w:pPr>
                          <w:pStyle w:val="TableParagraph"/>
                          <w:spacing w:line="206" w:lineRule="exact"/>
                          <w:ind w:left="2976"/>
                          <w:rPr>
                            <w:b/>
                            <w:sz w:val="18"/>
                          </w:rPr>
                        </w:pPr>
                        <w:r>
                          <w:rPr>
                            <w:b/>
                            <w:w w:val="105"/>
                            <w:sz w:val="18"/>
                          </w:rPr>
                          <w:t>El Xúchitl, San Bartolo Tutotepec</w:t>
                        </w:r>
                      </w:p>
                    </w:tc>
                    <w:tc>
                      <w:tcPr>
                        <w:tcW w:w="1083" w:type="dxa"/>
                      </w:tcPr>
                      <w:p>
                        <w:pPr>
                          <w:pStyle w:val="TableParagraph"/>
                          <w:rPr>
                            <w:sz w:val="10"/>
                          </w:rPr>
                        </w:pPr>
                      </w:p>
                    </w:tc>
                  </w:tr>
                  <w:tr>
                    <w:trPr>
                      <w:trHeight w:val="367" w:hRule="atLeast"/>
                    </w:trPr>
                    <w:tc>
                      <w:tcPr>
                        <w:tcW w:w="7677"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3" w:type="dxa"/>
                      </w:tcPr>
                      <w:p>
                        <w:pPr>
                          <w:pStyle w:val="TableParagraph"/>
                          <w:spacing w:before="8"/>
                          <w:rPr>
                            <w:sz w:val="16"/>
                          </w:rPr>
                        </w:pPr>
                      </w:p>
                      <w:p>
                        <w:pPr>
                          <w:pStyle w:val="TableParagraph"/>
                          <w:spacing w:line="155" w:lineRule="exact"/>
                          <w:ind w:left="170"/>
                          <w:rPr>
                            <w:sz w:val="14"/>
                          </w:rPr>
                        </w:pPr>
                        <w:r>
                          <w:rPr>
                            <w:w w:val="105"/>
                            <w:sz w:val="14"/>
                          </w:rPr>
                          <w:t>HGOSBT016</w:t>
                        </w:r>
                      </w:p>
                    </w:tc>
                  </w:tr>
                  <w:tr>
                    <w:trPr>
                      <w:trHeight w:val="7635" w:hRule="atLeast"/>
                    </w:trPr>
                    <w:tc>
                      <w:tcPr>
                        <w:tcW w:w="7677"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9"/>
                          <w:jc w:val="center"/>
                          <w:rPr>
                            <w:sz w:val="9"/>
                          </w:rPr>
                        </w:pPr>
                        <w:r>
                          <w:rPr>
                            <w:w w:val="105"/>
                            <w:sz w:val="9"/>
                          </w:rPr>
                          <w:t>1- Hablantes de lengua indígena *</w:t>
                        </w:r>
                      </w:p>
                      <w:p>
                        <w:pPr>
                          <w:pStyle w:val="TableParagraph"/>
                          <w:tabs>
                            <w:tab w:pos="5085"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2"/>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2"/>
                          <w:rPr>
                            <w:b/>
                            <w:sz w:val="8"/>
                          </w:rPr>
                        </w:pPr>
                        <w:r>
                          <w:rPr>
                            <w:b/>
                            <w:sz w:val="8"/>
                          </w:rPr>
                          <w:t>0%</w:t>
                        </w:r>
                      </w:p>
                      <w:p>
                        <w:pPr>
                          <w:pStyle w:val="TableParagraph"/>
                          <w:tabs>
                            <w:tab w:pos="7071" w:val="left" w:leader="none"/>
                          </w:tabs>
                          <w:spacing w:before="54"/>
                          <w:ind w:right="36"/>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2"/>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3"/>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6"/>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4"/>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3"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3" w:type="dxa"/>
                      </w:tcPr>
                      <w:p>
                        <w:pPr>
                          <w:pStyle w:val="TableParagraph"/>
                          <w:spacing w:before="12"/>
                          <w:ind w:left="302"/>
                          <w:rPr>
                            <w:sz w:val="14"/>
                          </w:rPr>
                        </w:pPr>
                        <w:r>
                          <w:rPr>
                            <w:w w:val="105"/>
                            <w:sz w:val="14"/>
                          </w:rPr>
                          <w:t>130530111</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3"/>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5"/>
                          <w:rPr>
                            <w:sz w:val="9"/>
                          </w:rPr>
                        </w:pPr>
                        <w:r>
                          <w:rPr>
                            <w:w w:val="105"/>
                            <w:sz w:val="9"/>
                          </w:rPr>
                          <w:t>Costumbres</w:t>
                        </w:r>
                        <w:r>
                          <w:rPr>
                            <w:spacing w:val="-5"/>
                            <w:w w:val="105"/>
                            <w:sz w:val="9"/>
                          </w:rPr>
                          <w:t> </w:t>
                        </w:r>
                        <w:r>
                          <w:rPr>
                            <w:w w:val="105"/>
                            <w:sz w:val="9"/>
                          </w:rPr>
                          <w:t>para</w:t>
                        </w:r>
                        <w:r>
                          <w:rPr>
                            <w:spacing w:val="-9"/>
                            <w:w w:val="105"/>
                            <w:sz w:val="9"/>
                          </w:rPr>
                          <w:t> </w:t>
                        </w:r>
                        <w:r>
                          <w:rPr>
                            <w:w w:val="105"/>
                            <w:sz w:val="9"/>
                          </w:rPr>
                          <w:t>resolver</w:t>
                        </w:r>
                        <w:r>
                          <w:rPr>
                            <w:spacing w:val="-7"/>
                            <w:w w:val="105"/>
                            <w:sz w:val="9"/>
                          </w:rPr>
                          <w:t> </w:t>
                        </w:r>
                        <w:r>
                          <w:rPr>
                            <w:w w:val="105"/>
                            <w:sz w:val="9"/>
                          </w:rPr>
                          <w:t>sus</w:t>
                        </w:r>
                      </w:p>
                      <w:p>
                        <w:pPr>
                          <w:pStyle w:val="TableParagraph"/>
                          <w:spacing w:before="6"/>
                          <w:ind w:left="153"/>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1"/>
                          <w:rPr>
                            <w:sz w:val="9"/>
                          </w:rPr>
                        </w:pPr>
                        <w:r>
                          <w:rPr>
                            <w:w w:val="105"/>
                            <w:sz w:val="9"/>
                          </w:rPr>
                          <w:t>unitario</w:t>
                        </w: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2006" w:hRule="atLeast"/>
                    </w:trPr>
                    <w:tc>
                      <w:tcPr>
                        <w:tcW w:w="7677"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3"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right="1415"/>
      <w:jc w:val="center"/>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2019-05-30T04:45:08Z</dcterms:created>
  <dcterms:modified xsi:type="dcterms:W3CDTF">2019-05-30T04:45:08Z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