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50" w:rsidRDefault="007D6850">
      <w:pPr>
        <w:pStyle w:val="Textoindependiente"/>
        <w:rPr>
          <w:sz w:val="20"/>
        </w:rPr>
      </w:pPr>
    </w:p>
    <w:p w:rsidR="007D6850" w:rsidRDefault="003576B0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BD1A0C9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850" w:rsidRDefault="007D6850">
      <w:pPr>
        <w:pStyle w:val="Textoindependiente"/>
        <w:spacing w:before="1"/>
        <w:rPr>
          <w:sz w:val="28"/>
        </w:rPr>
      </w:pPr>
    </w:p>
    <w:p w:rsidR="007D6850" w:rsidRDefault="003576B0">
      <w:pPr>
        <w:spacing w:before="82" w:line="490" w:lineRule="exact"/>
        <w:ind w:left="3717" w:right="5014"/>
        <w:jc w:val="center"/>
        <w:rPr>
          <w:b/>
          <w:sz w:val="44"/>
        </w:rPr>
      </w:pPr>
      <w:r>
        <w:rPr>
          <w:b/>
          <w:color w:val="231F20"/>
          <w:sz w:val="44"/>
        </w:rPr>
        <w:t>El Llano</w:t>
      </w:r>
    </w:p>
    <w:p w:rsidR="007D6850" w:rsidRDefault="003576B0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1416257</wp:posOffset>
            </wp:positionV>
            <wp:extent cx="5977514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4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HGOSFO015</w:t>
      </w: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spacing w:before="10"/>
        <w:rPr>
          <w:sz w:val="18"/>
        </w:rPr>
      </w:pPr>
    </w:p>
    <w:p w:rsidR="007D6850" w:rsidRDefault="003576B0">
      <w:pPr>
        <w:spacing w:before="90"/>
        <w:ind w:right="1414"/>
        <w:jc w:val="right"/>
        <w:rPr>
          <w:sz w:val="24"/>
        </w:rPr>
      </w:pPr>
      <w:r>
        <w:rPr>
          <w:color w:val="231F20"/>
          <w:sz w:val="24"/>
        </w:rPr>
        <w:t>El Llano: 130460075</w:t>
      </w:r>
    </w:p>
    <w:p w:rsidR="007D6850" w:rsidRDefault="007D6850">
      <w:pPr>
        <w:jc w:val="right"/>
        <w:rPr>
          <w:sz w:val="24"/>
        </w:rPr>
        <w:sectPr w:rsidR="007D685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3576B0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D6850" w:rsidRDefault="007D6850">
      <w:pPr>
        <w:pStyle w:val="Textoindependiente"/>
        <w:spacing w:before="3"/>
        <w:rPr>
          <w:b/>
          <w:sz w:val="32"/>
        </w:rPr>
      </w:pPr>
    </w:p>
    <w:p w:rsidR="007D6850" w:rsidRDefault="003576B0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Llano</w:t>
      </w:r>
      <w:r>
        <w:t xml:space="preserve">, del Municipio de San Felipe </w:t>
      </w:r>
      <w:proofErr w:type="spellStart"/>
      <w:r>
        <w:t>Orizatl</w:t>
      </w:r>
      <w:r>
        <w:t>án</w:t>
      </w:r>
      <w:proofErr w:type="spellEnd"/>
      <w:r>
        <w:t xml:space="preserve">, con clave INEGI </w:t>
      </w:r>
      <w:r>
        <w:rPr>
          <w:b/>
        </w:rPr>
        <w:t>130460075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HGOSFO015</w:t>
      </w:r>
      <w:r>
        <w:t>.</w:t>
      </w:r>
    </w:p>
    <w:p w:rsidR="007D6850" w:rsidRDefault="007D6850">
      <w:pPr>
        <w:pStyle w:val="Textoindependiente"/>
        <w:spacing w:before="1"/>
        <w:rPr>
          <w:sz w:val="24"/>
        </w:rPr>
      </w:pPr>
    </w:p>
    <w:p w:rsidR="007D6850" w:rsidRDefault="003576B0">
      <w:pPr>
        <w:pStyle w:val="Textoindependiente"/>
        <w:ind w:left="401" w:right="1696"/>
        <w:jc w:val="both"/>
      </w:pPr>
      <w:r>
        <w:rPr>
          <w:b/>
        </w:rPr>
        <w:t xml:space="preserve">El Llano </w:t>
      </w:r>
      <w:r>
        <w:t>mantiene una vida social que da cue</w:t>
      </w:r>
      <w:r>
        <w:t>nta que la organización social, ésta se refleja por medio de las asambleas que son convocadas por el Delegado, quién es la máxima autoridad y de esta manera se articulan para la formación de Comités propios e institucionales de programas federales que se i</w:t>
      </w:r>
      <w:r>
        <w:t>ntegran a la vida de la</w:t>
      </w:r>
      <w:r>
        <w:rPr>
          <w:spacing w:val="-1"/>
        </w:rPr>
        <w:t xml:space="preserve"> </w:t>
      </w:r>
      <w:r>
        <w:t>comunidad.</w:t>
      </w:r>
    </w:p>
    <w:p w:rsidR="007D6850" w:rsidRDefault="007D6850">
      <w:pPr>
        <w:pStyle w:val="Textoindependiente"/>
      </w:pPr>
    </w:p>
    <w:p w:rsidR="007D6850" w:rsidRDefault="003576B0">
      <w:pPr>
        <w:pStyle w:val="Textoindependiente"/>
        <w:ind w:left="401" w:right="1697"/>
        <w:jc w:val="both"/>
      </w:pPr>
      <w:r>
        <w:t>Con significativo 20 por ciento de Hablantes de Lengua Indígena, se advierte que el náhuatl es utilizado sólo por las personas mayores, y los jóvenes y niños han dejado de utilizarlo debido a que sus padres consideran qu</w:t>
      </w:r>
      <w:r>
        <w:t>e es mejor que aprendan el castellano pues les abrirá más oportunidades de desarrollo.</w:t>
      </w:r>
    </w:p>
    <w:p w:rsidR="007D6850" w:rsidRDefault="007D6850">
      <w:pPr>
        <w:pStyle w:val="Textoindependiente"/>
        <w:spacing w:before="11"/>
        <w:rPr>
          <w:sz w:val="21"/>
        </w:rPr>
      </w:pPr>
    </w:p>
    <w:p w:rsidR="007D6850" w:rsidRDefault="003576B0">
      <w:pPr>
        <w:pStyle w:val="Textoindependiente"/>
        <w:ind w:left="401" w:right="1696"/>
        <w:jc w:val="both"/>
      </w:pPr>
      <w:r>
        <w:t xml:space="preserve">Sobre las prácticas culturales, se observa que han perdido fuerza y su carácter unificador, aunque todavía tienen vigencia las Fiestas Tradicionales,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>y algunas creencias que permiten renovar lazos de solidaridad, trabajo colectivo y reciprocidad.</w:t>
      </w:r>
    </w:p>
    <w:p w:rsidR="007D6850" w:rsidRDefault="007D6850">
      <w:pPr>
        <w:pStyle w:val="Textoindependiente"/>
        <w:spacing w:before="11"/>
        <w:rPr>
          <w:sz w:val="21"/>
        </w:rPr>
      </w:pPr>
    </w:p>
    <w:p w:rsidR="007D6850" w:rsidRDefault="003576B0">
      <w:pPr>
        <w:pStyle w:val="Textoindependiente"/>
        <w:ind w:left="401" w:right="1697"/>
        <w:jc w:val="both"/>
      </w:pPr>
      <w:r>
        <w:t>En referencia a las prácticas de la medicina tradicional, existe la presencia de los abuelos y curanderos que dedican tiempo a curar “enfermedades culturales”</w:t>
      </w:r>
      <w:r>
        <w:t xml:space="preserve"> y fisiológicos y que de forma cotidiana se articula con la práctica de medicina alópata.</w:t>
      </w:r>
    </w:p>
    <w:p w:rsidR="007D6850" w:rsidRDefault="007D6850">
      <w:pPr>
        <w:pStyle w:val="Textoindependiente"/>
      </w:pPr>
    </w:p>
    <w:p w:rsidR="007D6850" w:rsidRDefault="003576B0">
      <w:pPr>
        <w:pStyle w:val="Textoindependiente"/>
        <w:ind w:left="401" w:right="1697"/>
        <w:jc w:val="both"/>
      </w:pPr>
      <w:r>
        <w:t>Como se puede observar la identidad indígena de la comunidad, no se encuentra en la manifestación de las prácticas culturales, sino que radica en la organización com</w:t>
      </w:r>
      <w:r>
        <w:t>unitaria como la máxima regla para el establecimiento de las sanciones y la forma en que se otorga la membrecía.</w:t>
      </w:r>
    </w:p>
    <w:p w:rsidR="007D6850" w:rsidRDefault="007D6850">
      <w:pPr>
        <w:jc w:val="both"/>
        <w:sectPr w:rsidR="007D6850">
          <w:pgSz w:w="12240" w:h="15840"/>
          <w:pgMar w:top="1060" w:right="0" w:bottom="280" w:left="1300" w:header="720" w:footer="720" w:gutter="0"/>
          <w:cols w:space="720"/>
        </w:sectPr>
      </w:pPr>
    </w:p>
    <w:p w:rsidR="003576B0" w:rsidRDefault="003576B0">
      <w:pPr>
        <w:pStyle w:val="Textoindependiente"/>
        <w:rPr>
          <w:sz w:val="20"/>
        </w:rPr>
      </w:pPr>
    </w:p>
    <w:p w:rsidR="003576B0" w:rsidRDefault="003576B0">
      <w:pPr>
        <w:pStyle w:val="Textoindependiente"/>
        <w:rPr>
          <w:sz w:val="20"/>
        </w:rPr>
      </w:pPr>
    </w:p>
    <w:p w:rsidR="003576B0" w:rsidRDefault="003576B0">
      <w:pPr>
        <w:pStyle w:val="Textoindependiente"/>
        <w:rPr>
          <w:sz w:val="20"/>
        </w:rPr>
      </w:pPr>
    </w:p>
    <w:p w:rsidR="003576B0" w:rsidRDefault="003576B0">
      <w:pPr>
        <w:pStyle w:val="Textoindependiente"/>
        <w:rPr>
          <w:sz w:val="20"/>
        </w:rPr>
      </w:pPr>
    </w:p>
    <w:p w:rsidR="003576B0" w:rsidRDefault="003576B0">
      <w:pPr>
        <w:pStyle w:val="Textoindependiente"/>
        <w:rPr>
          <w:sz w:val="20"/>
        </w:rPr>
      </w:pPr>
    </w:p>
    <w:p w:rsidR="003576B0" w:rsidRDefault="003576B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7D6850">
        <w:trPr>
          <w:trHeight w:val="810"/>
        </w:trPr>
        <w:tc>
          <w:tcPr>
            <w:tcW w:w="8023" w:type="dxa"/>
            <w:gridSpan w:val="3"/>
          </w:tcPr>
          <w:p w:rsidR="007D6850" w:rsidRDefault="003576B0">
            <w:pPr>
              <w:pStyle w:val="TableParagraph"/>
              <w:spacing w:line="206" w:lineRule="exact"/>
              <w:ind w:left="2813" w:right="270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Llano,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7D6850">
        <w:trPr>
          <w:trHeight w:val="790"/>
        </w:trPr>
        <w:tc>
          <w:tcPr>
            <w:tcW w:w="4930" w:type="dxa"/>
          </w:tcPr>
          <w:p w:rsidR="007D6850" w:rsidRDefault="007D685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D6850" w:rsidRDefault="007D685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D6850" w:rsidRDefault="007D6850">
            <w:pPr>
              <w:pStyle w:val="TableParagraph"/>
              <w:rPr>
                <w:sz w:val="18"/>
              </w:rPr>
            </w:pPr>
          </w:p>
          <w:p w:rsidR="007D6850" w:rsidRDefault="007D6850">
            <w:pPr>
              <w:pStyle w:val="TableParagraph"/>
              <w:rPr>
                <w:sz w:val="18"/>
              </w:rPr>
            </w:pPr>
          </w:p>
          <w:p w:rsidR="007D6850" w:rsidRDefault="007D6850">
            <w:pPr>
              <w:pStyle w:val="TableParagraph"/>
              <w:spacing w:before="10"/>
              <w:rPr>
                <w:sz w:val="15"/>
              </w:rPr>
            </w:pPr>
          </w:p>
          <w:p w:rsidR="007D6850" w:rsidRDefault="003576B0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7D6850">
        <w:trPr>
          <w:trHeight w:val="201"/>
        </w:trPr>
        <w:tc>
          <w:tcPr>
            <w:tcW w:w="4930" w:type="dxa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7D6850" w:rsidRDefault="003576B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7D6850" w:rsidRDefault="003576B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HGOSFO015</w:t>
            </w:r>
          </w:p>
        </w:tc>
      </w:tr>
      <w:tr w:rsidR="007D6850">
        <w:trPr>
          <w:trHeight w:val="392"/>
        </w:trPr>
        <w:tc>
          <w:tcPr>
            <w:tcW w:w="4930" w:type="dxa"/>
          </w:tcPr>
          <w:p w:rsidR="007D6850" w:rsidRDefault="007D6850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7D6850" w:rsidRDefault="003576B0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7D6850" w:rsidRDefault="003576B0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130460075</w:t>
            </w:r>
          </w:p>
        </w:tc>
      </w:tr>
      <w:tr w:rsidR="007D6850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7D6850" w:rsidRDefault="003576B0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7D6850" w:rsidRDefault="003576B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7D6850" w:rsidRDefault="003576B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7D6850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7D6850" w:rsidRDefault="003576B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7D6850" w:rsidRDefault="003576B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7D6850">
        <w:trPr>
          <w:trHeight w:val="197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55.0%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6850">
        <w:trPr>
          <w:trHeight w:val="197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D6850">
        <w:trPr>
          <w:trHeight w:val="197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D6850">
        <w:trPr>
          <w:trHeight w:val="195"/>
        </w:trPr>
        <w:tc>
          <w:tcPr>
            <w:tcW w:w="4930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D6850" w:rsidRDefault="003576B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6850">
        <w:trPr>
          <w:trHeight w:val="197"/>
        </w:trPr>
        <w:tc>
          <w:tcPr>
            <w:tcW w:w="4930" w:type="dxa"/>
            <w:shd w:val="clear" w:color="auto" w:fill="FFFF00"/>
          </w:tcPr>
          <w:p w:rsidR="007D6850" w:rsidRDefault="003576B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7D6850" w:rsidRDefault="003576B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D6850" w:rsidRDefault="003576B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6850">
        <w:trPr>
          <w:trHeight w:val="195"/>
        </w:trPr>
        <w:tc>
          <w:tcPr>
            <w:tcW w:w="4930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D6850" w:rsidRDefault="003576B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D6850">
        <w:trPr>
          <w:trHeight w:val="197"/>
        </w:trPr>
        <w:tc>
          <w:tcPr>
            <w:tcW w:w="4930" w:type="dxa"/>
            <w:shd w:val="clear" w:color="auto" w:fill="F9BE8F"/>
          </w:tcPr>
          <w:p w:rsidR="007D6850" w:rsidRDefault="003576B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7D6850" w:rsidRDefault="003576B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D6850" w:rsidRDefault="003576B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D6850">
        <w:trPr>
          <w:trHeight w:val="196"/>
        </w:trPr>
        <w:tc>
          <w:tcPr>
            <w:tcW w:w="4930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6850">
        <w:trPr>
          <w:trHeight w:val="195"/>
        </w:trPr>
        <w:tc>
          <w:tcPr>
            <w:tcW w:w="4930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D6850" w:rsidRDefault="003576B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D6850">
        <w:trPr>
          <w:trHeight w:val="199"/>
        </w:trPr>
        <w:tc>
          <w:tcPr>
            <w:tcW w:w="4930" w:type="dxa"/>
            <w:shd w:val="clear" w:color="auto" w:fill="DCE6F0"/>
          </w:tcPr>
          <w:p w:rsidR="007D6850" w:rsidRDefault="003576B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7D6850" w:rsidRDefault="003576B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7D6850" w:rsidRDefault="003576B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D6850">
        <w:trPr>
          <w:trHeight w:val="3343"/>
        </w:trPr>
        <w:tc>
          <w:tcPr>
            <w:tcW w:w="4930" w:type="dxa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3576B0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7D6850" w:rsidRDefault="007D6850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D6850" w:rsidRDefault="007D6850">
            <w:pPr>
              <w:pStyle w:val="TableParagraph"/>
              <w:rPr>
                <w:sz w:val="16"/>
              </w:rPr>
            </w:pPr>
          </w:p>
        </w:tc>
      </w:tr>
      <w:tr w:rsidR="007D6850">
        <w:trPr>
          <w:trHeight w:val="199"/>
        </w:trPr>
        <w:tc>
          <w:tcPr>
            <w:tcW w:w="8023" w:type="dxa"/>
            <w:gridSpan w:val="3"/>
          </w:tcPr>
          <w:p w:rsidR="007D6850" w:rsidRDefault="003576B0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7D6850">
        <w:trPr>
          <w:trHeight w:val="175"/>
        </w:trPr>
        <w:tc>
          <w:tcPr>
            <w:tcW w:w="4930" w:type="dxa"/>
          </w:tcPr>
          <w:p w:rsidR="007D6850" w:rsidRDefault="003576B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7D6850" w:rsidRDefault="007D6850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7D6850" w:rsidRDefault="007D6850">
            <w:pPr>
              <w:pStyle w:val="TableParagraph"/>
              <w:rPr>
                <w:sz w:val="10"/>
              </w:rPr>
            </w:pPr>
          </w:p>
        </w:tc>
      </w:tr>
    </w:tbl>
    <w:p w:rsidR="007D6850" w:rsidRDefault="007D6850">
      <w:pPr>
        <w:rPr>
          <w:sz w:val="10"/>
        </w:rPr>
        <w:sectPr w:rsidR="007D6850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7D6850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7D685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3576B0">
            <w:pPr>
              <w:pStyle w:val="TableParagraph"/>
              <w:spacing w:line="206" w:lineRule="exact"/>
              <w:ind w:left="5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Llano,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7D6850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7D6850">
            <w:pPr>
              <w:pStyle w:val="TableParagraph"/>
              <w:rPr>
                <w:sz w:val="12"/>
              </w:rPr>
            </w:pPr>
          </w:p>
        </w:tc>
      </w:tr>
      <w:tr w:rsidR="007D6850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7D685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7D6850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3576B0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3576B0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HGOSFO015</w:t>
            </w:r>
          </w:p>
        </w:tc>
      </w:tr>
      <w:tr w:rsidR="007D6850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7D6850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7D6850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3576B0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D6850" w:rsidRDefault="003576B0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130460075</w:t>
            </w:r>
          </w:p>
        </w:tc>
      </w:tr>
      <w:tr w:rsidR="007D6850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6850" w:rsidRDefault="007D6850">
            <w:pPr>
              <w:pStyle w:val="TableParagraph"/>
              <w:spacing w:before="10"/>
              <w:rPr>
                <w:sz w:val="11"/>
              </w:rPr>
            </w:pPr>
          </w:p>
          <w:p w:rsidR="007D6850" w:rsidRDefault="003576B0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6850" w:rsidRDefault="007D6850">
            <w:pPr>
              <w:pStyle w:val="TableParagraph"/>
              <w:spacing w:before="10"/>
              <w:rPr>
                <w:sz w:val="11"/>
              </w:rPr>
            </w:pPr>
          </w:p>
          <w:p w:rsidR="007D6850" w:rsidRDefault="003576B0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6850" w:rsidRDefault="003576B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6850" w:rsidRDefault="007D6850">
            <w:pPr>
              <w:pStyle w:val="TableParagraph"/>
              <w:spacing w:before="10"/>
              <w:rPr>
                <w:sz w:val="11"/>
              </w:rPr>
            </w:pPr>
          </w:p>
          <w:p w:rsidR="007D6850" w:rsidRDefault="003576B0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7D6850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7D6850" w:rsidRDefault="003576B0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7D6850" w:rsidRDefault="003576B0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7D6850" w:rsidRDefault="003576B0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D6850" w:rsidRDefault="003576B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3576B0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3576B0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2"/>
              <w:rPr>
                <w:sz w:val="12"/>
              </w:rPr>
            </w:pPr>
          </w:p>
          <w:p w:rsidR="007D6850" w:rsidRDefault="003576B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7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3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8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D685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6850" w:rsidRDefault="003576B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spacing w:before="1"/>
              <w:rPr>
                <w:sz w:val="18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2"/>
              <w:rPr>
                <w:sz w:val="12"/>
              </w:rPr>
            </w:pPr>
          </w:p>
          <w:p w:rsidR="007D6850" w:rsidRDefault="003576B0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7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2"/>
              <w:rPr>
                <w:sz w:val="12"/>
              </w:rPr>
            </w:pPr>
          </w:p>
          <w:p w:rsidR="007D6850" w:rsidRDefault="003576B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7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spacing w:before="11"/>
              <w:rPr>
                <w:sz w:val="18"/>
              </w:rPr>
            </w:pPr>
          </w:p>
          <w:p w:rsidR="007D6850" w:rsidRDefault="003576B0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8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92D050"/>
          </w:tcPr>
          <w:p w:rsidR="007D6850" w:rsidRDefault="003576B0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D6850" w:rsidRDefault="007D6850">
            <w:pPr>
              <w:pStyle w:val="TableParagraph"/>
              <w:spacing w:before="10"/>
              <w:rPr>
                <w:sz w:val="18"/>
              </w:rPr>
            </w:pPr>
          </w:p>
          <w:p w:rsidR="007D6850" w:rsidRDefault="003576B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7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2"/>
              <w:rPr>
                <w:sz w:val="12"/>
              </w:rPr>
            </w:pPr>
          </w:p>
          <w:p w:rsidR="007D6850" w:rsidRDefault="003576B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7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3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8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D685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3576B0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3576B0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7D6850" w:rsidRDefault="003576B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2"/>
              <w:rPr>
                <w:sz w:val="12"/>
              </w:rPr>
            </w:pPr>
          </w:p>
          <w:p w:rsidR="007D6850" w:rsidRDefault="003576B0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7D6850" w:rsidRDefault="007D6850">
            <w:pPr>
              <w:pStyle w:val="TableParagraph"/>
              <w:rPr>
                <w:sz w:val="14"/>
              </w:rPr>
            </w:pPr>
          </w:p>
          <w:p w:rsidR="007D6850" w:rsidRDefault="007D6850">
            <w:pPr>
              <w:pStyle w:val="TableParagraph"/>
              <w:spacing w:before="7"/>
              <w:rPr>
                <w:sz w:val="12"/>
              </w:rPr>
            </w:pPr>
          </w:p>
          <w:p w:rsidR="007D6850" w:rsidRDefault="003576B0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D6850" w:rsidRDefault="003576B0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7D6850" w:rsidRDefault="003576B0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7D6850" w:rsidRDefault="007D6850">
            <w:pPr>
              <w:rPr>
                <w:sz w:val="2"/>
                <w:szCs w:val="2"/>
              </w:rPr>
            </w:pPr>
          </w:p>
        </w:tc>
      </w:tr>
      <w:tr w:rsidR="007D6850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7D6850" w:rsidRDefault="003576B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7D6850" w:rsidRDefault="003576B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33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7D6850" w:rsidRDefault="007D6850">
      <w:pPr>
        <w:rPr>
          <w:sz w:val="2"/>
          <w:szCs w:val="2"/>
        </w:rPr>
        <w:sectPr w:rsidR="007D6850">
          <w:pgSz w:w="12240" w:h="15840"/>
          <w:pgMar w:top="1060" w:right="0" w:bottom="280" w:left="1300" w:header="720" w:footer="720" w:gutter="0"/>
          <w:cols w:space="720"/>
        </w:sectPr>
      </w:pPr>
    </w:p>
    <w:p w:rsidR="007D6850" w:rsidRDefault="007D6850">
      <w:pPr>
        <w:pStyle w:val="Textoindependiente"/>
        <w:rPr>
          <w:sz w:val="20"/>
        </w:rPr>
      </w:pPr>
      <w:bookmarkStart w:id="0" w:name="_GoBack"/>
      <w:bookmarkEnd w:id="0"/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20"/>
        </w:rPr>
      </w:pPr>
    </w:p>
    <w:p w:rsidR="007D6850" w:rsidRDefault="007D6850">
      <w:pPr>
        <w:pStyle w:val="Textoindependiente"/>
        <w:rPr>
          <w:sz w:val="12"/>
        </w:rPr>
      </w:pPr>
    </w:p>
    <w:p w:rsidR="007D6850" w:rsidRDefault="003576B0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5546;width:5315;height:4859" coordorigin="3563,-5546" coordsize="5315,4859" o:spt="100" adj="0,,0" path="m6141,-3564r-289,666l5746,-687r593,-1438l6431,-2898r-290,-666xm6141,-3564r1187,838l8878,-2591r-419,-814l6141,-3564xm4019,-5546r-456,646l5431,-3711r710,147l6786,-3898r145,-162l6443,-4060r10,-84l6141,-4144r-754,-660l4019,-5546xm8264,-5546l6443,-4060r488,l8264,-5546xm6572,-5102r-431,958l6453,-4144r119,-958xe" fillcolor="#9bba58" stroked="f">
              <v:stroke joinstyle="round"/>
              <v:formulas/>
              <v:path arrowok="t" o:connecttype="segments"/>
            </v:shape>
            <v:shape id="_x0000_s1031" style="position:absolute;left:3562;top:-5546;width:5315;height:4859" coordorigin="3563,-5546" coordsize="5315,4859" path="m6141,-4144r431,-958l6443,-4060,8264,-5546,6786,-3898r-645,334l8459,-3405r419,814l7328,-2726,6141,-3564r290,666l6339,-2125,5746,-687r106,-2211l6141,-3564r-684,244l6141,-3564r-710,-147l3563,-4900r456,-646l5387,-4804r754,660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21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2"/>
                  </w:tblGrid>
                  <w:tr w:rsidR="007D6850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7D6850" w:rsidRDefault="003576B0">
                        <w:pPr>
                          <w:pStyle w:val="TableParagraph"/>
                          <w:spacing w:line="206" w:lineRule="exact"/>
                          <w:ind w:left="3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El Llano,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</w:tcPr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D6850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7D6850" w:rsidRDefault="007D685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D6850" w:rsidRDefault="007D6850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spacing w:line="155" w:lineRule="exact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HGOSFO015</w:t>
                        </w:r>
                      </w:p>
                    </w:tc>
                  </w:tr>
                  <w:tr w:rsidR="007D6850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7D6850" w:rsidRDefault="003576B0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D6850" w:rsidRDefault="007D6850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6221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7D6850" w:rsidRDefault="007D6850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7D6850" w:rsidRDefault="007D685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5370"/>
                          </w:tabs>
                          <w:ind w:right="3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7D6850" w:rsidRDefault="003576B0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7D6850" w:rsidRDefault="003576B0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2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D6850" w:rsidRDefault="003576B0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130460075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ind w:left="3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spacing w:before="88" w:line="249" w:lineRule="auto"/>
                          <w:ind w:left="150" w:right="-20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 conflictos</w:t>
                        </w: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spacing w:before="70"/>
                          <w:ind w:left="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7D685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7D6850" w:rsidRDefault="007D68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7D6850" w:rsidRDefault="007D68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D6850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7D6850" w:rsidRDefault="007D68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7D6850" w:rsidRDefault="007D6850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D6850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6850" w:rsidRDefault="007D6850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7D6850" w:rsidRDefault="003576B0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D6850" w:rsidRDefault="007D685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D6850">
                    <w:trPr>
                      <w:trHeight w:val="168"/>
                    </w:trPr>
                    <w:tc>
                      <w:tcPr>
                        <w:tcW w:w="8759" w:type="dxa"/>
                        <w:gridSpan w:val="2"/>
                      </w:tcPr>
                      <w:p w:rsidR="007D6850" w:rsidRDefault="003576B0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D6850" w:rsidRDefault="007D685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7D6850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D6850"/>
    <w:rsid w:val="003576B0"/>
    <w:rsid w:val="007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7B2305F1"/>
  <w15:docId w15:val="{7B754ACB-AAE9-461D-A107-54C70751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2019-05-29T15:04:00Z</dcterms:created>
  <dcterms:modified xsi:type="dcterms:W3CDTF">2019-05-29T20:59:00Z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