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C7" w:rsidRDefault="00762DAE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F4B12C8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spacing w:before="1"/>
        <w:rPr>
          <w:sz w:val="28"/>
        </w:rPr>
      </w:pPr>
    </w:p>
    <w:p w:rsidR="00342EC7" w:rsidRDefault="00762DAE">
      <w:pPr>
        <w:spacing w:before="82" w:line="490" w:lineRule="exact"/>
        <w:ind w:left="2405"/>
        <w:rPr>
          <w:b/>
          <w:sz w:val="44"/>
        </w:rPr>
      </w:pPr>
      <w:r>
        <w:rPr>
          <w:b/>
          <w:color w:val="231F20"/>
          <w:sz w:val="44"/>
        </w:rPr>
        <w:t>San Francisco la Laguna</w:t>
      </w:r>
    </w:p>
    <w:p w:rsidR="00342EC7" w:rsidRDefault="00762DAE">
      <w:pPr>
        <w:spacing w:line="260" w:lineRule="exact"/>
        <w:ind w:left="3704" w:right="500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1416254</wp:posOffset>
            </wp:positionV>
            <wp:extent cx="5985727" cy="44378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7" cy="44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HGOTED017</w:t>
      </w: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rPr>
          <w:sz w:val="26"/>
        </w:rPr>
      </w:pPr>
    </w:p>
    <w:p w:rsidR="00342EC7" w:rsidRDefault="00342EC7">
      <w:pPr>
        <w:pStyle w:val="Textoindependiente"/>
        <w:spacing w:before="8"/>
        <w:rPr>
          <w:sz w:val="30"/>
        </w:rPr>
      </w:pPr>
    </w:p>
    <w:p w:rsidR="00342EC7" w:rsidRDefault="00762DAE">
      <w:pPr>
        <w:ind w:left="5870"/>
        <w:rPr>
          <w:sz w:val="24"/>
        </w:rPr>
      </w:pPr>
      <w:r>
        <w:rPr>
          <w:color w:val="231F20"/>
          <w:sz w:val="24"/>
        </w:rPr>
        <w:t>San Francisco la Laguna: 130600032</w:t>
      </w:r>
    </w:p>
    <w:p w:rsidR="00342EC7" w:rsidRDefault="00342EC7">
      <w:pPr>
        <w:rPr>
          <w:sz w:val="24"/>
        </w:rPr>
        <w:sectPr w:rsidR="00342EC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762DAE">
      <w:pPr>
        <w:spacing w:before="218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42EC7" w:rsidRDefault="00342EC7">
      <w:pPr>
        <w:pStyle w:val="Textoindependiente"/>
        <w:spacing w:before="2"/>
        <w:rPr>
          <w:b/>
          <w:sz w:val="46"/>
        </w:rPr>
      </w:pPr>
    </w:p>
    <w:p w:rsidR="00342EC7" w:rsidRDefault="00762DAE">
      <w:pPr>
        <w:pStyle w:val="Ttulo1"/>
        <w:spacing w:before="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localidad </w:t>
      </w:r>
      <w:r>
        <w:rPr>
          <w:b/>
          <w:sz w:val="32"/>
        </w:rPr>
        <w:t>San Francisco la Laguna</w:t>
      </w:r>
      <w:r>
        <w:t>, del Municipio de Tenang</w:t>
      </w:r>
      <w:r>
        <w:t xml:space="preserve">o de Doria, con clave INEGI </w:t>
      </w:r>
      <w:r>
        <w:rPr>
          <w:b/>
        </w:rPr>
        <w:t>130600032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para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HGOTED017.</w:t>
      </w:r>
    </w:p>
    <w:p w:rsidR="00342EC7" w:rsidRDefault="00342EC7">
      <w:pPr>
        <w:pStyle w:val="Textoindependiente"/>
        <w:spacing w:before="1"/>
        <w:rPr>
          <w:b/>
        </w:rPr>
      </w:pPr>
    </w:p>
    <w:p w:rsidR="00342EC7" w:rsidRDefault="00762DAE">
      <w:pPr>
        <w:pStyle w:val="Textoindependiente"/>
        <w:ind w:left="401" w:right="1699"/>
        <w:jc w:val="both"/>
      </w:pPr>
      <w:r>
        <w:rPr>
          <w:b/>
        </w:rPr>
        <w:t xml:space="preserve">San Francisco la Laguna </w:t>
      </w:r>
      <w:r>
        <w:t xml:space="preserve">mantiene </w:t>
      </w:r>
      <w:r>
        <w:t xml:space="preserve">una intensa vida social que es articulada por sus autoridades que son electas por un periodo de dos años en Asambleas Generales, a las cuales son convocados los jefes de familia. Cuentan con autoridades tradicionales para la organización de la comunidad y </w:t>
      </w:r>
      <w:r>
        <w:t>para la realización de festividades y</w:t>
      </w:r>
      <w:r>
        <w:rPr>
          <w:spacing w:val="-1"/>
        </w:rPr>
        <w:t xml:space="preserve"> </w:t>
      </w:r>
      <w:r>
        <w:t>celebraciones.</w:t>
      </w:r>
    </w:p>
    <w:p w:rsidR="00342EC7" w:rsidRDefault="00342EC7">
      <w:pPr>
        <w:pStyle w:val="Textoindependiente"/>
      </w:pPr>
    </w:p>
    <w:p w:rsidR="00342EC7" w:rsidRDefault="00762DAE">
      <w:pPr>
        <w:pStyle w:val="Textoindependiente"/>
        <w:ind w:left="401" w:right="1696"/>
        <w:jc w:val="both"/>
      </w:pPr>
      <w:r>
        <w:t>Si bien esta comunidad tiene un significativo 40 por ciento de Hablantes de Lengua Indígena, ésta es utilizada principalmente por las personas mayores, ya que los jóvenes y niños la están abandonando po</w:t>
      </w:r>
      <w:r>
        <w:t>rque sus padres consideran que es mejor que aprendan el castellano pues</w:t>
      </w:r>
      <w:r>
        <w:rPr>
          <w:spacing w:val="28"/>
        </w:rPr>
        <w:t xml:space="preserve"> </w:t>
      </w:r>
      <w:r>
        <w:t>les brindará más oportunidades.</w:t>
      </w:r>
    </w:p>
    <w:p w:rsidR="00342EC7" w:rsidRDefault="00342EC7">
      <w:pPr>
        <w:pStyle w:val="Textoindependiente"/>
        <w:spacing w:before="11"/>
        <w:rPr>
          <w:sz w:val="21"/>
        </w:rPr>
      </w:pPr>
    </w:p>
    <w:p w:rsidR="00342EC7" w:rsidRDefault="00762DAE">
      <w:pPr>
        <w:pStyle w:val="Textoindependiente"/>
        <w:ind w:left="401" w:right="1695"/>
        <w:jc w:val="both"/>
      </w:pPr>
      <w:proofErr w:type="spellStart"/>
      <w:r>
        <w:t>Aún</w:t>
      </w:r>
      <w:proofErr w:type="spellEnd"/>
      <w:r>
        <w:t xml:space="preserve"> cuando no se consideran indígenas, su organización interna, prácticas culturales y la conservación de tradiciones, se siguen conservando; así como la vestimenta tradicional y las artesanías.</w:t>
      </w:r>
    </w:p>
    <w:p w:rsidR="00342EC7" w:rsidRDefault="00342EC7">
      <w:pPr>
        <w:pStyle w:val="Textoindependiente"/>
        <w:spacing w:before="3"/>
        <w:rPr>
          <w:sz w:val="21"/>
        </w:rPr>
      </w:pPr>
    </w:p>
    <w:p w:rsidR="00342EC7" w:rsidRDefault="00762DAE">
      <w:pPr>
        <w:pStyle w:val="Textoindependiente"/>
        <w:ind w:left="401" w:right="1699"/>
        <w:jc w:val="both"/>
      </w:pPr>
      <w:r>
        <w:t>La impartición de justicia a través de “usos y costumbres” s</w:t>
      </w:r>
      <w:r>
        <w:t xml:space="preserve">e conserva, con apoyo de </w:t>
      </w:r>
      <w:proofErr w:type="gramStart"/>
      <w:r>
        <w:t>las  autoridades</w:t>
      </w:r>
      <w:proofErr w:type="gramEnd"/>
      <w:r>
        <w:t xml:space="preserve"> municipales que intervienen frecuentemente, motivo por el cual algunas faltas son remitidas a la cabecera</w:t>
      </w:r>
      <w:r>
        <w:rPr>
          <w:spacing w:val="1"/>
        </w:rPr>
        <w:t xml:space="preserve"> </w:t>
      </w:r>
      <w:r>
        <w:t>municipal.</w:t>
      </w:r>
    </w:p>
    <w:p w:rsidR="00342EC7" w:rsidRDefault="00342EC7">
      <w:pPr>
        <w:pStyle w:val="Textoindependiente"/>
        <w:spacing w:before="11"/>
        <w:rPr>
          <w:sz w:val="21"/>
        </w:rPr>
      </w:pPr>
    </w:p>
    <w:p w:rsidR="00342EC7" w:rsidRDefault="00762DAE">
      <w:pPr>
        <w:pStyle w:val="Textoindependiente"/>
        <w:ind w:left="401" w:right="1698"/>
        <w:jc w:val="both"/>
      </w:pPr>
      <w:r>
        <w:t>Se observa la existencia de la medicina tradicional y el tratamiento de “enfermedades culturales</w:t>
      </w:r>
      <w:r>
        <w:t>” por parte de médicos tradicionales como yerberos, aun cuando los servicios de salud han ampliado su</w:t>
      </w:r>
      <w:r>
        <w:rPr>
          <w:spacing w:val="-1"/>
        </w:rPr>
        <w:t xml:space="preserve"> </w:t>
      </w:r>
      <w:r>
        <w:t>cobertura.</w:t>
      </w:r>
    </w:p>
    <w:p w:rsidR="00342EC7" w:rsidRDefault="00342EC7">
      <w:pPr>
        <w:jc w:val="both"/>
        <w:sectPr w:rsidR="00342EC7">
          <w:pgSz w:w="12240" w:h="15840"/>
          <w:pgMar w:top="1060" w:right="0" w:bottom="280" w:left="1300" w:header="720" w:footer="720" w:gutter="0"/>
          <w:cols w:space="720"/>
        </w:sect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342EC7">
        <w:trPr>
          <w:trHeight w:val="810"/>
        </w:trPr>
        <w:tc>
          <w:tcPr>
            <w:tcW w:w="8023" w:type="dxa"/>
            <w:gridSpan w:val="3"/>
          </w:tcPr>
          <w:p w:rsidR="00342EC7" w:rsidRDefault="00762DAE">
            <w:pPr>
              <w:pStyle w:val="TableParagraph"/>
              <w:spacing w:line="206" w:lineRule="exact"/>
              <w:ind w:left="2222" w:right="216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 Francisco la Laguna , Tenango de Doria</w:t>
            </w:r>
          </w:p>
        </w:tc>
      </w:tr>
      <w:tr w:rsidR="00342EC7">
        <w:trPr>
          <w:trHeight w:val="790"/>
        </w:trPr>
        <w:tc>
          <w:tcPr>
            <w:tcW w:w="4930" w:type="dxa"/>
          </w:tcPr>
          <w:p w:rsidR="00342EC7" w:rsidRDefault="00342EC7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342EC7" w:rsidRDefault="00342EC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42EC7" w:rsidRDefault="00342EC7">
            <w:pPr>
              <w:pStyle w:val="TableParagraph"/>
              <w:rPr>
                <w:sz w:val="18"/>
              </w:rPr>
            </w:pPr>
          </w:p>
          <w:p w:rsidR="00342EC7" w:rsidRDefault="00342EC7">
            <w:pPr>
              <w:pStyle w:val="TableParagraph"/>
              <w:rPr>
                <w:sz w:val="18"/>
              </w:rPr>
            </w:pPr>
          </w:p>
          <w:p w:rsidR="00342EC7" w:rsidRDefault="00342EC7">
            <w:pPr>
              <w:pStyle w:val="TableParagraph"/>
              <w:spacing w:before="10"/>
              <w:rPr>
                <w:sz w:val="15"/>
              </w:rPr>
            </w:pPr>
          </w:p>
          <w:p w:rsidR="00342EC7" w:rsidRDefault="00762DAE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342EC7">
        <w:trPr>
          <w:trHeight w:val="201"/>
        </w:trPr>
        <w:tc>
          <w:tcPr>
            <w:tcW w:w="4930" w:type="dxa"/>
          </w:tcPr>
          <w:p w:rsidR="00342EC7" w:rsidRDefault="00342EC7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342EC7" w:rsidRDefault="00762DAE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342EC7" w:rsidRDefault="00762DAE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HGOTED017</w:t>
            </w:r>
          </w:p>
        </w:tc>
      </w:tr>
      <w:tr w:rsidR="00342EC7">
        <w:trPr>
          <w:trHeight w:val="392"/>
        </w:trPr>
        <w:tc>
          <w:tcPr>
            <w:tcW w:w="4930" w:type="dxa"/>
          </w:tcPr>
          <w:p w:rsidR="00342EC7" w:rsidRDefault="00342EC7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342EC7" w:rsidRDefault="00762DAE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342EC7" w:rsidRDefault="00762DAE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130600032</w:t>
            </w:r>
          </w:p>
        </w:tc>
      </w:tr>
      <w:tr w:rsidR="00342EC7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342EC7" w:rsidRDefault="00762DAE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342EC7" w:rsidRDefault="00762DAE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342EC7" w:rsidRDefault="00762DAE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342EC7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342EC7" w:rsidRDefault="00762DAE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342EC7" w:rsidRDefault="00762DAE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342EC7">
        <w:trPr>
          <w:trHeight w:val="197"/>
        </w:trPr>
        <w:tc>
          <w:tcPr>
            <w:tcW w:w="4930" w:type="dxa"/>
            <w:shd w:val="clear" w:color="auto" w:fill="92D050"/>
          </w:tcPr>
          <w:p w:rsidR="00342EC7" w:rsidRDefault="00762DAE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342EC7" w:rsidRDefault="00762DAE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342EC7" w:rsidRDefault="00762DAE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40.0%</w:t>
            </w:r>
          </w:p>
        </w:tc>
      </w:tr>
      <w:tr w:rsidR="00342EC7">
        <w:trPr>
          <w:trHeight w:val="196"/>
        </w:trPr>
        <w:tc>
          <w:tcPr>
            <w:tcW w:w="4930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342EC7">
        <w:trPr>
          <w:trHeight w:val="196"/>
        </w:trPr>
        <w:tc>
          <w:tcPr>
            <w:tcW w:w="4930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342EC7">
        <w:trPr>
          <w:trHeight w:val="196"/>
        </w:trPr>
        <w:tc>
          <w:tcPr>
            <w:tcW w:w="4930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42EC7">
        <w:trPr>
          <w:trHeight w:val="196"/>
        </w:trPr>
        <w:tc>
          <w:tcPr>
            <w:tcW w:w="4930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342EC7">
        <w:trPr>
          <w:trHeight w:val="196"/>
        </w:trPr>
        <w:tc>
          <w:tcPr>
            <w:tcW w:w="4930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42EC7">
        <w:trPr>
          <w:trHeight w:val="196"/>
        </w:trPr>
        <w:tc>
          <w:tcPr>
            <w:tcW w:w="4930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342EC7">
        <w:trPr>
          <w:trHeight w:val="197"/>
        </w:trPr>
        <w:tc>
          <w:tcPr>
            <w:tcW w:w="4930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42EC7">
        <w:trPr>
          <w:trHeight w:val="197"/>
        </w:trPr>
        <w:tc>
          <w:tcPr>
            <w:tcW w:w="4930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42EC7">
        <w:trPr>
          <w:trHeight w:val="196"/>
        </w:trPr>
        <w:tc>
          <w:tcPr>
            <w:tcW w:w="4930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42EC7">
        <w:trPr>
          <w:trHeight w:val="196"/>
        </w:trPr>
        <w:tc>
          <w:tcPr>
            <w:tcW w:w="4930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342EC7">
        <w:trPr>
          <w:trHeight w:val="196"/>
        </w:trPr>
        <w:tc>
          <w:tcPr>
            <w:tcW w:w="4930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342EC7">
        <w:trPr>
          <w:trHeight w:val="195"/>
        </w:trPr>
        <w:tc>
          <w:tcPr>
            <w:tcW w:w="4930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42EC7" w:rsidRDefault="00762DA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42EC7">
        <w:trPr>
          <w:trHeight w:val="197"/>
        </w:trPr>
        <w:tc>
          <w:tcPr>
            <w:tcW w:w="4930" w:type="dxa"/>
            <w:shd w:val="clear" w:color="auto" w:fill="FFFF00"/>
          </w:tcPr>
          <w:p w:rsidR="00342EC7" w:rsidRDefault="00762DAE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342EC7" w:rsidRDefault="00762DAE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342EC7" w:rsidRDefault="00762DAE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342EC7">
        <w:trPr>
          <w:trHeight w:val="196"/>
        </w:trPr>
        <w:tc>
          <w:tcPr>
            <w:tcW w:w="4930" w:type="dxa"/>
            <w:shd w:val="clear" w:color="auto" w:fill="FFFF00"/>
          </w:tcPr>
          <w:p w:rsidR="00342EC7" w:rsidRDefault="00762DA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342EC7" w:rsidRDefault="00762DA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342EC7" w:rsidRDefault="00762DA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42EC7">
        <w:trPr>
          <w:trHeight w:val="196"/>
        </w:trPr>
        <w:tc>
          <w:tcPr>
            <w:tcW w:w="4930" w:type="dxa"/>
            <w:shd w:val="clear" w:color="auto" w:fill="FFFF00"/>
          </w:tcPr>
          <w:p w:rsidR="00342EC7" w:rsidRDefault="00762DA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342EC7" w:rsidRDefault="00762DA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342EC7" w:rsidRDefault="00762DA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42EC7">
        <w:trPr>
          <w:trHeight w:val="195"/>
        </w:trPr>
        <w:tc>
          <w:tcPr>
            <w:tcW w:w="4930" w:type="dxa"/>
            <w:shd w:val="clear" w:color="auto" w:fill="FFFF00"/>
          </w:tcPr>
          <w:p w:rsidR="00342EC7" w:rsidRDefault="00762DA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342EC7" w:rsidRDefault="00762DAE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342EC7" w:rsidRDefault="00762DA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342EC7">
        <w:trPr>
          <w:trHeight w:val="197"/>
        </w:trPr>
        <w:tc>
          <w:tcPr>
            <w:tcW w:w="4930" w:type="dxa"/>
            <w:shd w:val="clear" w:color="auto" w:fill="F9C090"/>
          </w:tcPr>
          <w:p w:rsidR="00342EC7" w:rsidRDefault="00762DAE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342EC7" w:rsidRDefault="00762DAE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342EC7" w:rsidRDefault="00762DAE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42EC7">
        <w:trPr>
          <w:trHeight w:val="196"/>
        </w:trPr>
        <w:tc>
          <w:tcPr>
            <w:tcW w:w="4930" w:type="dxa"/>
            <w:shd w:val="clear" w:color="auto" w:fill="F9C090"/>
          </w:tcPr>
          <w:p w:rsidR="00342EC7" w:rsidRDefault="00762DA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342EC7" w:rsidRDefault="00762DA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342EC7" w:rsidRDefault="00762DA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342EC7">
        <w:trPr>
          <w:trHeight w:val="196"/>
        </w:trPr>
        <w:tc>
          <w:tcPr>
            <w:tcW w:w="4930" w:type="dxa"/>
            <w:shd w:val="clear" w:color="auto" w:fill="F9C090"/>
          </w:tcPr>
          <w:p w:rsidR="00342EC7" w:rsidRDefault="00762DA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342EC7" w:rsidRDefault="00762DA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342EC7" w:rsidRDefault="00762DA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42EC7">
        <w:trPr>
          <w:trHeight w:val="195"/>
        </w:trPr>
        <w:tc>
          <w:tcPr>
            <w:tcW w:w="4930" w:type="dxa"/>
            <w:shd w:val="clear" w:color="auto" w:fill="F9C090"/>
          </w:tcPr>
          <w:p w:rsidR="00342EC7" w:rsidRDefault="00762DA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342EC7" w:rsidRDefault="00762DAE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342EC7" w:rsidRDefault="00762DA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42EC7">
        <w:trPr>
          <w:trHeight w:val="199"/>
        </w:trPr>
        <w:tc>
          <w:tcPr>
            <w:tcW w:w="4930" w:type="dxa"/>
            <w:shd w:val="clear" w:color="auto" w:fill="DBE4F0"/>
          </w:tcPr>
          <w:p w:rsidR="00342EC7" w:rsidRDefault="00762DAE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342EC7" w:rsidRDefault="00762DAE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342EC7" w:rsidRDefault="00762DAE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42EC7">
        <w:trPr>
          <w:trHeight w:val="3343"/>
        </w:trPr>
        <w:tc>
          <w:tcPr>
            <w:tcW w:w="4930" w:type="dxa"/>
          </w:tcPr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762DAE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342EC7" w:rsidRDefault="00342EC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42EC7" w:rsidRDefault="00342EC7">
            <w:pPr>
              <w:pStyle w:val="TableParagraph"/>
              <w:rPr>
                <w:sz w:val="16"/>
              </w:rPr>
            </w:pPr>
          </w:p>
        </w:tc>
      </w:tr>
      <w:tr w:rsidR="00342EC7">
        <w:trPr>
          <w:trHeight w:val="199"/>
        </w:trPr>
        <w:tc>
          <w:tcPr>
            <w:tcW w:w="8023" w:type="dxa"/>
            <w:gridSpan w:val="3"/>
          </w:tcPr>
          <w:p w:rsidR="00342EC7" w:rsidRDefault="00762DAE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342EC7">
        <w:trPr>
          <w:trHeight w:val="175"/>
        </w:trPr>
        <w:tc>
          <w:tcPr>
            <w:tcW w:w="4930" w:type="dxa"/>
          </w:tcPr>
          <w:p w:rsidR="00342EC7" w:rsidRDefault="00762DAE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342EC7" w:rsidRDefault="00342EC7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342EC7" w:rsidRDefault="00342EC7">
            <w:pPr>
              <w:pStyle w:val="TableParagraph"/>
              <w:rPr>
                <w:sz w:val="10"/>
              </w:rPr>
            </w:pPr>
          </w:p>
        </w:tc>
      </w:tr>
    </w:tbl>
    <w:p w:rsidR="00342EC7" w:rsidRDefault="00342EC7">
      <w:pPr>
        <w:rPr>
          <w:sz w:val="10"/>
        </w:rPr>
        <w:sectPr w:rsidR="00342EC7">
          <w:pgSz w:w="12240" w:h="15840"/>
          <w:pgMar w:top="1060" w:right="0" w:bottom="280" w:left="1300" w:header="720" w:footer="720" w:gutter="0"/>
          <w:cols w:space="720"/>
        </w:sectPr>
      </w:pPr>
    </w:p>
    <w:p w:rsidR="00342EC7" w:rsidRDefault="00762DAE">
      <w:pPr>
        <w:spacing w:before="70"/>
        <w:ind w:left="3181"/>
        <w:rPr>
          <w:b/>
          <w:sz w:val="18"/>
        </w:rPr>
      </w:pPr>
      <w:r>
        <w:rPr>
          <w:b/>
          <w:w w:val="105"/>
          <w:sz w:val="18"/>
        </w:rPr>
        <w:lastRenderedPageBreak/>
        <w:t>San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Francisco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la</w:t>
      </w:r>
      <w:r>
        <w:rPr>
          <w:b/>
          <w:spacing w:val="-7"/>
          <w:w w:val="105"/>
          <w:sz w:val="18"/>
        </w:rPr>
        <w:t xml:space="preserve"> </w:t>
      </w:r>
      <w:proofErr w:type="gramStart"/>
      <w:r>
        <w:rPr>
          <w:b/>
          <w:w w:val="105"/>
          <w:sz w:val="18"/>
        </w:rPr>
        <w:t>Laguna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,</w:t>
      </w:r>
      <w:proofErr w:type="gramEnd"/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Tenango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Doria</w:t>
      </w:r>
    </w:p>
    <w:p w:rsidR="00342EC7" w:rsidRDefault="00762DAE">
      <w:pPr>
        <w:tabs>
          <w:tab w:val="left" w:pos="1647"/>
          <w:tab w:val="right" w:pos="2465"/>
        </w:tabs>
        <w:spacing w:before="361" w:line="276" w:lineRule="auto"/>
        <w:ind w:left="605" w:right="169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lastRenderedPageBreak/>
        <w:t>Clave</w:t>
      </w:r>
      <w:r>
        <w:rPr>
          <w:spacing w:val="-5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CCIEH</w:t>
      </w:r>
      <w:r>
        <w:rPr>
          <w:w w:val="105"/>
          <w:position w:val="1"/>
          <w:sz w:val="14"/>
        </w:rPr>
        <w:tab/>
      </w:r>
      <w:r>
        <w:rPr>
          <w:spacing w:val="-3"/>
          <w:w w:val="105"/>
          <w:sz w:val="14"/>
        </w:rPr>
        <w:t xml:space="preserve">HGOTED017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130600032</w:t>
      </w:r>
    </w:p>
    <w:p w:rsidR="00342EC7" w:rsidRDefault="00342EC7">
      <w:pPr>
        <w:spacing w:line="276" w:lineRule="auto"/>
        <w:rPr>
          <w:sz w:val="14"/>
        </w:rPr>
        <w:sectPr w:rsidR="00342EC7">
          <w:pgSz w:w="12240" w:h="15840"/>
          <w:pgMar w:top="1000" w:right="0" w:bottom="280" w:left="1300" w:header="720" w:footer="720" w:gutter="0"/>
          <w:cols w:num="2" w:space="720" w:equalWidth="0">
            <w:col w:w="6742" w:space="40"/>
            <w:col w:w="4158"/>
          </w:cols>
        </w:sectPr>
      </w:pPr>
    </w:p>
    <w:p w:rsidR="00342EC7" w:rsidRDefault="00762DAE">
      <w:pPr>
        <w:pStyle w:val="Textoindependiente"/>
        <w:spacing w:before="10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6214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342EC7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2EC7" w:rsidRDefault="00762DAE">
            <w:pPr>
              <w:pStyle w:val="TableParagraph"/>
              <w:spacing w:before="136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2EC7" w:rsidRDefault="00342EC7">
            <w:pPr>
              <w:pStyle w:val="TableParagraph"/>
              <w:spacing w:before="10"/>
              <w:rPr>
                <w:sz w:val="11"/>
              </w:rPr>
            </w:pPr>
          </w:p>
          <w:p w:rsidR="00342EC7" w:rsidRDefault="00762DAE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2EC7" w:rsidRDefault="00762DAE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2EC7" w:rsidRDefault="00342EC7">
            <w:pPr>
              <w:pStyle w:val="TableParagraph"/>
              <w:spacing w:before="10"/>
              <w:rPr>
                <w:sz w:val="11"/>
              </w:rPr>
            </w:pPr>
          </w:p>
          <w:p w:rsidR="00342EC7" w:rsidRDefault="00762DAE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342EC7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342EC7" w:rsidRDefault="00762DAE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342EC7" w:rsidRDefault="00762DAE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342EC7" w:rsidRDefault="00762DAE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342EC7" w:rsidRDefault="00762DAE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40.0%</w:t>
            </w:r>
          </w:p>
        </w:tc>
      </w:tr>
      <w:tr w:rsidR="00342EC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762DAE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762DAE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85.0%</w:t>
            </w: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spacing w:before="2"/>
              <w:rPr>
                <w:sz w:val="12"/>
              </w:rPr>
            </w:pPr>
          </w:p>
          <w:p w:rsidR="00342EC7" w:rsidRDefault="00762DAE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spacing w:before="7"/>
              <w:rPr>
                <w:sz w:val="12"/>
              </w:rPr>
            </w:pPr>
          </w:p>
          <w:p w:rsidR="00342EC7" w:rsidRDefault="00762DA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60.0%</w:t>
            </w: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42EC7" w:rsidRDefault="00762DA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42EC7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spacing w:before="3"/>
              <w:rPr>
                <w:sz w:val="12"/>
              </w:rPr>
            </w:pPr>
          </w:p>
          <w:p w:rsidR="00342EC7" w:rsidRDefault="00762DAE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spacing w:before="8"/>
              <w:rPr>
                <w:sz w:val="12"/>
              </w:rPr>
            </w:pPr>
          </w:p>
          <w:p w:rsidR="00342EC7" w:rsidRDefault="00762DA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342EC7" w:rsidRDefault="00762DA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42EC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42EC7" w:rsidRDefault="00762DAE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42EC7" w:rsidRDefault="00342EC7">
            <w:pPr>
              <w:pStyle w:val="TableParagraph"/>
              <w:spacing w:before="1"/>
              <w:rPr>
                <w:sz w:val="18"/>
              </w:rPr>
            </w:pPr>
          </w:p>
          <w:p w:rsidR="00342EC7" w:rsidRDefault="00762DA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42EC7" w:rsidRDefault="00762DA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42EC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spacing w:before="2"/>
              <w:rPr>
                <w:sz w:val="12"/>
              </w:rPr>
            </w:pPr>
          </w:p>
          <w:p w:rsidR="00342EC7" w:rsidRDefault="00762DAE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spacing w:before="7"/>
              <w:rPr>
                <w:sz w:val="12"/>
              </w:rPr>
            </w:pPr>
          </w:p>
          <w:p w:rsidR="00342EC7" w:rsidRDefault="00762DAE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42EC7" w:rsidRDefault="00762DA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42EC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spacing w:before="2"/>
              <w:rPr>
                <w:sz w:val="12"/>
              </w:rPr>
            </w:pPr>
          </w:p>
          <w:p w:rsidR="00342EC7" w:rsidRDefault="00762DAE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spacing w:before="7"/>
              <w:rPr>
                <w:sz w:val="12"/>
              </w:rPr>
            </w:pPr>
          </w:p>
          <w:p w:rsidR="00342EC7" w:rsidRDefault="00762DA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42EC7" w:rsidRDefault="00342EC7">
            <w:pPr>
              <w:pStyle w:val="TableParagraph"/>
              <w:spacing w:before="10"/>
              <w:rPr>
                <w:sz w:val="18"/>
              </w:rPr>
            </w:pPr>
          </w:p>
          <w:p w:rsidR="00342EC7" w:rsidRDefault="00762DAE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spacing w:before="7"/>
              <w:rPr>
                <w:sz w:val="12"/>
              </w:rPr>
            </w:pPr>
          </w:p>
          <w:p w:rsidR="00342EC7" w:rsidRDefault="00762DA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shd w:val="clear" w:color="auto" w:fill="92D050"/>
          </w:tcPr>
          <w:p w:rsidR="00342EC7" w:rsidRDefault="00762DAE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42EC7" w:rsidRDefault="00762DA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42EC7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342EC7" w:rsidRDefault="00342EC7">
            <w:pPr>
              <w:pStyle w:val="TableParagraph"/>
              <w:spacing w:before="10"/>
              <w:rPr>
                <w:sz w:val="18"/>
              </w:rPr>
            </w:pPr>
          </w:p>
          <w:p w:rsidR="00342EC7" w:rsidRDefault="00762DAE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spacing w:before="7"/>
              <w:rPr>
                <w:sz w:val="12"/>
              </w:rPr>
            </w:pPr>
          </w:p>
          <w:p w:rsidR="00342EC7" w:rsidRDefault="00762DA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shd w:val="clear" w:color="auto" w:fill="FFFF00"/>
          </w:tcPr>
          <w:p w:rsidR="00342EC7" w:rsidRDefault="00762DA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342EC7" w:rsidRDefault="00762DA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42EC7">
        <w:trPr>
          <w:trHeight w:val="181"/>
        </w:trPr>
        <w:tc>
          <w:tcPr>
            <w:tcW w:w="2579" w:type="dxa"/>
            <w:shd w:val="clear" w:color="auto" w:fill="FFFF00"/>
          </w:tcPr>
          <w:p w:rsidR="00342EC7" w:rsidRDefault="00762DA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342EC7" w:rsidRDefault="00762DA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42EC7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spacing w:before="2"/>
              <w:rPr>
                <w:sz w:val="12"/>
              </w:rPr>
            </w:pPr>
          </w:p>
          <w:p w:rsidR="00342EC7" w:rsidRDefault="00762DAE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spacing w:before="7"/>
              <w:rPr>
                <w:sz w:val="12"/>
              </w:rPr>
            </w:pPr>
          </w:p>
          <w:p w:rsidR="00342EC7" w:rsidRDefault="00762DA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342EC7" w:rsidRDefault="00762DA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42EC7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spacing w:before="3"/>
              <w:rPr>
                <w:sz w:val="12"/>
              </w:rPr>
            </w:pPr>
          </w:p>
          <w:p w:rsidR="00342EC7" w:rsidRDefault="00762DAE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spacing w:before="8"/>
              <w:rPr>
                <w:sz w:val="12"/>
              </w:rPr>
            </w:pPr>
          </w:p>
          <w:p w:rsidR="00342EC7" w:rsidRDefault="00762DA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762DAE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762DAE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342EC7" w:rsidRDefault="00762DA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42EC7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spacing w:before="2"/>
              <w:rPr>
                <w:sz w:val="12"/>
              </w:rPr>
            </w:pPr>
          </w:p>
          <w:p w:rsidR="00342EC7" w:rsidRDefault="00762DAE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342EC7" w:rsidRDefault="00342EC7">
            <w:pPr>
              <w:pStyle w:val="TableParagraph"/>
              <w:rPr>
                <w:sz w:val="14"/>
              </w:rPr>
            </w:pPr>
          </w:p>
          <w:p w:rsidR="00342EC7" w:rsidRDefault="00342EC7">
            <w:pPr>
              <w:pStyle w:val="TableParagraph"/>
              <w:spacing w:before="7"/>
              <w:rPr>
                <w:sz w:val="12"/>
              </w:rPr>
            </w:pPr>
          </w:p>
          <w:p w:rsidR="00342EC7" w:rsidRDefault="00762DAE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  <w:tr w:rsidR="00342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342EC7" w:rsidRDefault="00762DA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342EC7" w:rsidRDefault="00762DA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342EC7" w:rsidRDefault="00342EC7">
            <w:pPr>
              <w:rPr>
                <w:sz w:val="2"/>
                <w:szCs w:val="2"/>
              </w:rPr>
            </w:pPr>
          </w:p>
        </w:tc>
      </w:tr>
    </w:tbl>
    <w:p w:rsidR="00342EC7" w:rsidRDefault="00762DAE">
      <w:pPr>
        <w:spacing w:before="15"/>
        <w:ind w:left="709"/>
        <w:rPr>
          <w:sz w:val="12"/>
        </w:rPr>
      </w:pPr>
      <w:r>
        <w:rPr>
          <w:sz w:val="12"/>
        </w:rPr>
        <w:t>*% de PHLI Nacional (INEGI, 2010)</w:t>
      </w:r>
    </w:p>
    <w:p w:rsidR="00342EC7" w:rsidRDefault="00342EC7">
      <w:pPr>
        <w:rPr>
          <w:sz w:val="12"/>
        </w:rPr>
        <w:sectPr w:rsidR="00342EC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42EC7" w:rsidRDefault="00342EC7">
      <w:pPr>
        <w:pStyle w:val="Textoindependiente"/>
        <w:rPr>
          <w:sz w:val="20"/>
        </w:rPr>
      </w:pPr>
      <w:bookmarkStart w:id="0" w:name="_GoBack"/>
      <w:bookmarkEnd w:id="0"/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20"/>
        </w:rPr>
      </w:pPr>
    </w:p>
    <w:p w:rsidR="00342EC7" w:rsidRDefault="00342EC7">
      <w:pPr>
        <w:pStyle w:val="Textoindependiente"/>
        <w:rPr>
          <w:sz w:val="12"/>
        </w:rPr>
      </w:pPr>
    </w:p>
    <w:p w:rsidR="00342EC7" w:rsidRDefault="00762DAE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1.3pt;height:290.65pt;z-index:251663360;mso-position-horizontal-relative:page" coordorigin="3217,-6473" coordsize="5826,5813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046;width:5634;height:5359" coordorigin="3244,-6045" coordsize="5634,5359" o:spt="100" adj="0,,0" path="m6141,-3564r-289,666l5746,-687r692,-719l6431,-2898r2289,l8459,-3405,6141,-3564xm8720,-2898r-2289,l7974,-1311r540,-578l8878,-2591r-158,-307xm3563,-4900r1868,1189l3244,-3366r845,532l6141,-3564,3563,-4900xm4633,-6045r1508,2481l8075,-4566r31,-159l6141,-4725,4633,-6045xm6807,-5941r-666,1216l8106,-4725r63,-328l7047,-5053r-240,-888xm8264,-5546r-1217,493l8169,-5053r95,-493xe" fillcolor="#9bba58" stroked="f">
              <v:stroke joinstyle="round"/>
              <v:formulas/>
              <v:path arrowok="t" o:connecttype="segments"/>
            </v:shape>
            <v:shape id="_x0000_s1031" style="position:absolute;left:3244;top:-6046;width:5634;height:5359" coordorigin="3244,-6045" coordsize="5634,5359" path="m6141,-4725r666,-1216l7047,-5053r1217,-493l8075,-4566,6141,-3564r2318,159l8878,-2591r-364,702l7974,-1311,6431,-2898r7,1492l5746,-687r106,-2211l6141,-3564r-2052,730l3244,-3366r2187,-345l3563,-4900r2578,1336l4633,-6045r1508,1320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5pt;width:438.05pt;height:533.45pt;z-index:25025331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3"/>
                  </w:tblGrid>
                  <w:tr w:rsidR="00342EC7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342EC7" w:rsidRDefault="00762DAE">
                        <w:pPr>
                          <w:pStyle w:val="TableParagraph"/>
                          <w:spacing w:line="206" w:lineRule="exact"/>
                          <w:ind w:left="25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San Francisco la Laguna , Tenango de Doria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42EC7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342EC7" w:rsidRDefault="00342EC7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342EC7" w:rsidRDefault="00762DAE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342EC7" w:rsidRDefault="00342EC7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342EC7" w:rsidRDefault="00762DAE">
                        <w:pPr>
                          <w:pStyle w:val="TableParagraph"/>
                          <w:spacing w:line="155" w:lineRule="exact"/>
                          <w:ind w:left="154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HGOTED017</w:t>
                        </w:r>
                      </w:p>
                    </w:tc>
                  </w:tr>
                  <w:tr w:rsidR="00342EC7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342EC7" w:rsidRDefault="00762DAE"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342EC7" w:rsidRDefault="00342EC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42EC7" w:rsidRDefault="00762DAE"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342EC7" w:rsidRDefault="00762DAE">
                        <w:pPr>
                          <w:pStyle w:val="TableParagraph"/>
                          <w:tabs>
                            <w:tab w:val="left" w:pos="5085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342EC7" w:rsidRDefault="00762DAE">
                        <w:pPr>
                          <w:pStyle w:val="TableParagraph"/>
                          <w:tabs>
                            <w:tab w:val="left" w:pos="4899"/>
                          </w:tabs>
                          <w:ind w:left="6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342EC7" w:rsidRDefault="00342EC7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342EC7" w:rsidRDefault="00762DAE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342EC7" w:rsidRDefault="00342EC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42EC7" w:rsidRDefault="00762DAE">
                        <w:pPr>
                          <w:pStyle w:val="TableParagraph"/>
                          <w:tabs>
                            <w:tab w:val="left" w:pos="6217"/>
                          </w:tabs>
                          <w:spacing w:before="68"/>
                          <w:ind w:left="63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342EC7" w:rsidRDefault="00762DAE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342EC7" w:rsidRDefault="00342EC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42EC7" w:rsidRDefault="00762DAE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342EC7" w:rsidRDefault="00342EC7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342EC7" w:rsidRDefault="00762DAE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342EC7" w:rsidRDefault="00342EC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342EC7" w:rsidRDefault="00762DAE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342EC7" w:rsidRDefault="00342EC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42EC7" w:rsidRDefault="00762DAE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342EC7" w:rsidRDefault="00762DAE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342EC7" w:rsidRDefault="00342EC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342EC7" w:rsidRDefault="00762DAE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342EC7" w:rsidRDefault="00762DAE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342EC7" w:rsidRDefault="00762DAE">
                        <w:pPr>
                          <w:pStyle w:val="TableParagraph"/>
                          <w:tabs>
                            <w:tab w:val="left" w:pos="5576"/>
                          </w:tabs>
                          <w:ind w:left="4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342EC7" w:rsidRDefault="00762DAE">
                        <w:pPr>
                          <w:pStyle w:val="TableParagraph"/>
                          <w:tabs>
                            <w:tab w:val="left" w:pos="4186"/>
                          </w:tabs>
                          <w:spacing w:line="163" w:lineRule="auto"/>
                          <w:ind w:left="36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342EC7" w:rsidRDefault="00762DAE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342EC7" w:rsidRDefault="00762DAE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342EC7" w:rsidRDefault="00762DAE">
                        <w:pPr>
                          <w:pStyle w:val="TableParagraph"/>
                          <w:tabs>
                            <w:tab w:val="left" w:pos="4853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342EC7" w:rsidRDefault="00762DAE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130600032</w:t>
                        </w:r>
                      </w:p>
                      <w:p w:rsidR="00342EC7" w:rsidRDefault="00342EC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342EC7" w:rsidRDefault="00762DAE"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342EC7" w:rsidRDefault="00762DAE"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762DAE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342EC7" w:rsidRDefault="00762DAE"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2EC7" w:rsidRDefault="00762DAE">
                        <w:pPr>
                          <w:pStyle w:val="TableParagraph"/>
                          <w:spacing w:before="71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342EC7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342EC7" w:rsidRDefault="00342E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342EC7" w:rsidRDefault="00342E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42EC7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342EC7" w:rsidRDefault="00342E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342EC7" w:rsidRDefault="00342EC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42EC7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342EC7" w:rsidRDefault="00342E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2EC7" w:rsidRDefault="00342EC7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342EC7" w:rsidRDefault="00762DAE">
                        <w:pPr>
                          <w:pStyle w:val="TableParagraph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342EC7" w:rsidRDefault="00342E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42EC7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342EC7" w:rsidRDefault="00762DAE">
                        <w:pPr>
                          <w:pStyle w:val="TableParagraph"/>
                          <w:spacing w:before="17" w:line="130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342EC7" w:rsidRDefault="00342EC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342EC7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42EC7"/>
    <w:rsid w:val="00342EC7"/>
    <w:rsid w:val="0076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9C7A188"/>
  <w15:docId w15:val="{8E53B99E-9C37-4761-8736-96F1E2D2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985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2019-05-29T15:33:00Z</dcterms:created>
  <dcterms:modified xsi:type="dcterms:W3CDTF">2019-05-30T01:42:00Z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