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97" w:rsidRDefault="00615B9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DE588D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spacing w:before="1"/>
        <w:rPr>
          <w:sz w:val="28"/>
        </w:rPr>
      </w:pPr>
    </w:p>
    <w:p w:rsidR="00FD7997" w:rsidRDefault="00615B9A">
      <w:pPr>
        <w:spacing w:before="82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Coyutla</w:t>
      </w:r>
      <w:proofErr w:type="spellEnd"/>
    </w:p>
    <w:p w:rsidR="00FD7997" w:rsidRDefault="00615B9A">
      <w:pPr>
        <w:spacing w:before="16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HGOTPG010</w:t>
      </w: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spacing w:before="7"/>
      </w:pPr>
    </w:p>
    <w:p w:rsidR="00FD7997" w:rsidRDefault="00615B9A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Coyutla</w:t>
      </w:r>
      <w:proofErr w:type="spellEnd"/>
      <w:r>
        <w:rPr>
          <w:color w:val="231F20"/>
          <w:sz w:val="24"/>
        </w:rPr>
        <w:t>: 130620101</w:t>
      </w:r>
    </w:p>
    <w:p w:rsidR="00FD7997" w:rsidRDefault="00FD7997">
      <w:pPr>
        <w:jc w:val="right"/>
        <w:rPr>
          <w:sz w:val="24"/>
        </w:rPr>
        <w:sectPr w:rsidR="00FD799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615B9A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D7997" w:rsidRDefault="00FD7997">
      <w:pPr>
        <w:pStyle w:val="Textoindependiente"/>
        <w:spacing w:before="8"/>
        <w:rPr>
          <w:b/>
          <w:sz w:val="40"/>
        </w:rPr>
      </w:pPr>
    </w:p>
    <w:p w:rsidR="00FD7997" w:rsidRDefault="00615B9A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Coyutla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Guerr</w:t>
      </w:r>
      <w:r>
        <w:t xml:space="preserve">ero, con clave INEGI </w:t>
      </w:r>
      <w:r>
        <w:rPr>
          <w:b/>
        </w:rPr>
        <w:t>130620101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HGOTPG010</w:t>
      </w:r>
      <w:r>
        <w:t>.</w:t>
      </w:r>
    </w:p>
    <w:p w:rsidR="00FD7997" w:rsidRDefault="00FD7997">
      <w:pPr>
        <w:pStyle w:val="Textoindependiente"/>
        <w:rPr>
          <w:sz w:val="24"/>
        </w:rPr>
      </w:pPr>
    </w:p>
    <w:p w:rsidR="00FD7997" w:rsidRDefault="00615B9A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Coyutla</w:t>
      </w:r>
      <w:proofErr w:type="spellEnd"/>
      <w:r>
        <w:rPr>
          <w:b/>
        </w:rPr>
        <w:t xml:space="preserve"> </w:t>
      </w:r>
      <w:r>
        <w:t>mantiene una intensa vida social, q</w:t>
      </w:r>
      <w:r>
        <w:t>ue es articulada por las autoridades internas elegidas en Asambleas Comunitarias por periodo de un año, dichas autoridades tienen como cometido el establecimiento del orden social.</w:t>
      </w:r>
    </w:p>
    <w:p w:rsidR="00FD7997" w:rsidRDefault="00FD7997">
      <w:pPr>
        <w:pStyle w:val="Textoindependiente"/>
        <w:spacing w:before="1"/>
      </w:pPr>
    </w:p>
    <w:p w:rsidR="00FD7997" w:rsidRDefault="00615B9A">
      <w:pPr>
        <w:pStyle w:val="Textoindependiente"/>
        <w:ind w:left="401" w:right="1697"/>
        <w:jc w:val="both"/>
      </w:pPr>
      <w:r>
        <w:t>La expresión de las manifestaciones culturales como las Fiestas Tradiciona</w:t>
      </w:r>
      <w:r>
        <w:t xml:space="preserve">les entre las que figura </w:t>
      </w:r>
      <w:proofErr w:type="spellStart"/>
      <w:r>
        <w:rPr>
          <w:i/>
        </w:rPr>
        <w:t>Xantolo</w:t>
      </w:r>
      <w:proofErr w:type="spellEnd"/>
      <w:r>
        <w:t>, el Carnaval y la Fiesta Patronal, además de la elaboración de artesanías, danza, música, el uso de vestimenta tradicional de la región y la práctica de medicina tradicional son elementos que unifican al colectivo.</w:t>
      </w:r>
    </w:p>
    <w:p w:rsidR="00FD7997" w:rsidRDefault="00FD7997">
      <w:pPr>
        <w:pStyle w:val="Textoindependiente"/>
        <w:spacing w:before="11"/>
        <w:rPr>
          <w:sz w:val="21"/>
        </w:rPr>
      </w:pPr>
    </w:p>
    <w:p w:rsidR="00FD7997" w:rsidRDefault="00615B9A">
      <w:pPr>
        <w:pStyle w:val="Textoindependiente"/>
        <w:ind w:left="401" w:right="1697"/>
        <w:jc w:val="both"/>
      </w:pPr>
      <w:r>
        <w:t xml:space="preserve">El 78 por ciento de la población es hablante de la lengua náhuatl, sin </w:t>
      </w:r>
      <w:proofErr w:type="gramStart"/>
      <w:r>
        <w:t>embargo</w:t>
      </w:r>
      <w:proofErr w:type="gramEnd"/>
      <w:r>
        <w:t xml:space="preserve"> no garantiza la transmisión de la tradición oral, pues es notable la carencia de relatos, leyendas, cuentos y saberes tradicionales en la memoria colectiva.</w:t>
      </w:r>
    </w:p>
    <w:p w:rsidR="00FD7997" w:rsidRDefault="00FD7997">
      <w:pPr>
        <w:pStyle w:val="Textoindependiente"/>
      </w:pPr>
    </w:p>
    <w:p w:rsidR="00FD7997" w:rsidRDefault="00615B9A">
      <w:pPr>
        <w:pStyle w:val="Textoindependiente"/>
        <w:ind w:left="401" w:right="1699"/>
        <w:jc w:val="both"/>
      </w:pPr>
      <w:r>
        <w:t>Su identidad indíge</w:t>
      </w:r>
      <w:r>
        <w:t>na radica en el mantenimiento de las prácticas culturales y la organización comunitaria basada en “usos y costumbres”, a través de los cuales se norma la vida social.</w:t>
      </w:r>
    </w:p>
    <w:p w:rsidR="00FD7997" w:rsidRDefault="00FD7997">
      <w:pPr>
        <w:jc w:val="both"/>
        <w:sectPr w:rsidR="00FD7997">
          <w:pgSz w:w="12240" w:h="15840"/>
          <w:pgMar w:top="1060" w:right="0" w:bottom="280" w:left="1300" w:header="720" w:footer="720" w:gutter="0"/>
          <w:cols w:space="720"/>
        </w:sect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615B9A" w:rsidRDefault="00615B9A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D7997">
        <w:trPr>
          <w:trHeight w:val="759"/>
        </w:trPr>
        <w:tc>
          <w:tcPr>
            <w:tcW w:w="7544" w:type="dxa"/>
            <w:gridSpan w:val="3"/>
          </w:tcPr>
          <w:p w:rsidR="00FD7997" w:rsidRDefault="00615B9A">
            <w:pPr>
              <w:pStyle w:val="TableParagraph"/>
              <w:spacing w:line="193" w:lineRule="exact"/>
              <w:ind w:left="2471" w:right="237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Coyutla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FD7997">
        <w:trPr>
          <w:trHeight w:val="741"/>
        </w:trPr>
        <w:tc>
          <w:tcPr>
            <w:tcW w:w="4640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D7997" w:rsidRDefault="00FD7997">
            <w:pPr>
              <w:pStyle w:val="TableParagraph"/>
              <w:rPr>
                <w:sz w:val="16"/>
              </w:rPr>
            </w:pPr>
          </w:p>
          <w:p w:rsidR="00FD7997" w:rsidRDefault="00FD7997">
            <w:pPr>
              <w:pStyle w:val="TableParagraph"/>
              <w:rPr>
                <w:sz w:val="16"/>
              </w:rPr>
            </w:pPr>
          </w:p>
          <w:p w:rsidR="00FD7997" w:rsidRDefault="00FD7997">
            <w:pPr>
              <w:pStyle w:val="TableParagraph"/>
              <w:spacing w:before="8"/>
              <w:rPr>
                <w:sz w:val="16"/>
              </w:rPr>
            </w:pPr>
          </w:p>
          <w:p w:rsidR="00FD7997" w:rsidRDefault="00615B9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D7997">
        <w:trPr>
          <w:trHeight w:val="189"/>
        </w:trPr>
        <w:tc>
          <w:tcPr>
            <w:tcW w:w="4640" w:type="dxa"/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D7997" w:rsidRDefault="00615B9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D7997" w:rsidRDefault="00615B9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HGOTPG010</w:t>
            </w:r>
          </w:p>
        </w:tc>
      </w:tr>
      <w:tr w:rsidR="00FD7997">
        <w:trPr>
          <w:trHeight w:val="369"/>
        </w:trPr>
        <w:tc>
          <w:tcPr>
            <w:tcW w:w="4640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D7997" w:rsidRDefault="00615B9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D7997" w:rsidRDefault="00615B9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130620101</w:t>
            </w:r>
          </w:p>
        </w:tc>
      </w:tr>
      <w:tr w:rsidR="00FD799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D7997" w:rsidRDefault="00615B9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D7997" w:rsidRDefault="00615B9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D7997" w:rsidRDefault="00615B9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D799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D7997" w:rsidRDefault="00615B9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D7997" w:rsidRDefault="00615B9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D7997">
        <w:trPr>
          <w:trHeight w:val="185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77.8%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5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5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5"/>
        </w:trPr>
        <w:tc>
          <w:tcPr>
            <w:tcW w:w="4640" w:type="dxa"/>
            <w:shd w:val="clear" w:color="auto" w:fill="FFFF00"/>
          </w:tcPr>
          <w:p w:rsidR="00FD7997" w:rsidRDefault="00615B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D7997" w:rsidRDefault="00615B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D7997" w:rsidRDefault="00615B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997">
        <w:trPr>
          <w:trHeight w:val="185"/>
        </w:trPr>
        <w:tc>
          <w:tcPr>
            <w:tcW w:w="4640" w:type="dxa"/>
            <w:shd w:val="clear" w:color="auto" w:fill="F9BE8F"/>
          </w:tcPr>
          <w:p w:rsidR="00FD7997" w:rsidRDefault="00615B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D7997" w:rsidRDefault="00615B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D7997" w:rsidRDefault="00615B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4"/>
        </w:trPr>
        <w:tc>
          <w:tcPr>
            <w:tcW w:w="4640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D7997" w:rsidRDefault="00615B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D7997">
        <w:trPr>
          <w:trHeight w:val="187"/>
        </w:trPr>
        <w:tc>
          <w:tcPr>
            <w:tcW w:w="4640" w:type="dxa"/>
            <w:shd w:val="clear" w:color="auto" w:fill="DCE6F0"/>
          </w:tcPr>
          <w:p w:rsidR="00FD7997" w:rsidRDefault="00615B9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D7997" w:rsidRDefault="00615B9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D7997" w:rsidRDefault="00615B9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D7997">
        <w:trPr>
          <w:trHeight w:val="3141"/>
        </w:trPr>
        <w:tc>
          <w:tcPr>
            <w:tcW w:w="4640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</w:tc>
      </w:tr>
      <w:tr w:rsidR="00FD7997">
        <w:trPr>
          <w:trHeight w:val="185"/>
        </w:trPr>
        <w:tc>
          <w:tcPr>
            <w:tcW w:w="7544" w:type="dxa"/>
            <w:gridSpan w:val="3"/>
          </w:tcPr>
          <w:p w:rsidR="00FD7997" w:rsidRDefault="00615B9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D7997">
        <w:trPr>
          <w:trHeight w:val="164"/>
        </w:trPr>
        <w:tc>
          <w:tcPr>
            <w:tcW w:w="4640" w:type="dxa"/>
          </w:tcPr>
          <w:p w:rsidR="00FD7997" w:rsidRDefault="00615B9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D7997" w:rsidRDefault="00FD799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D7997" w:rsidRDefault="00FD7997">
            <w:pPr>
              <w:pStyle w:val="TableParagraph"/>
              <w:rPr>
                <w:sz w:val="10"/>
              </w:rPr>
            </w:pPr>
          </w:p>
        </w:tc>
      </w:tr>
    </w:tbl>
    <w:p w:rsidR="00FD7997" w:rsidRDefault="00FD7997">
      <w:pPr>
        <w:rPr>
          <w:sz w:val="10"/>
        </w:rPr>
        <w:sectPr w:rsidR="00FD7997">
          <w:pgSz w:w="11910" w:h="16840"/>
          <w:pgMar w:top="1600" w:right="0" w:bottom="280" w:left="1680" w:header="720" w:footer="720" w:gutter="0"/>
          <w:cols w:space="720"/>
        </w:sectPr>
      </w:pPr>
    </w:p>
    <w:p w:rsidR="00FD7997" w:rsidRDefault="00615B9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D799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line="193" w:lineRule="exact"/>
              <w:ind w:left="32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Coyutla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</w:tr>
      <w:tr w:rsidR="00FD799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HGOTPG010</w:t>
            </w:r>
          </w:p>
        </w:tc>
      </w:tr>
      <w:tr w:rsidR="00FD799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FD799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130620101</w:t>
            </w:r>
          </w:p>
        </w:tc>
      </w:tr>
      <w:tr w:rsidR="00FD799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997" w:rsidRDefault="00FD7997">
            <w:pPr>
              <w:pStyle w:val="TableParagraph"/>
              <w:spacing w:before="9"/>
              <w:rPr>
                <w:sz w:val="10"/>
              </w:rPr>
            </w:pPr>
          </w:p>
          <w:p w:rsidR="00FD7997" w:rsidRDefault="00615B9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997" w:rsidRDefault="00FD7997">
            <w:pPr>
              <w:pStyle w:val="TableParagraph"/>
              <w:spacing w:before="9"/>
              <w:rPr>
                <w:sz w:val="10"/>
              </w:rPr>
            </w:pPr>
          </w:p>
          <w:p w:rsidR="00FD7997" w:rsidRDefault="00615B9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997" w:rsidRDefault="00615B9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997" w:rsidRDefault="00FD7997">
            <w:pPr>
              <w:pStyle w:val="TableParagraph"/>
              <w:spacing w:before="9"/>
              <w:rPr>
                <w:sz w:val="10"/>
              </w:rPr>
            </w:pPr>
          </w:p>
          <w:p w:rsidR="00FD7997" w:rsidRDefault="00615B9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D799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D7997" w:rsidRDefault="00615B9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D7997" w:rsidRDefault="00615B9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D7997" w:rsidRDefault="00615B9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D7997" w:rsidRDefault="00615B9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77.8%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11"/>
              <w:rPr>
                <w:sz w:val="20"/>
              </w:rPr>
            </w:pPr>
          </w:p>
          <w:p w:rsidR="00FD7997" w:rsidRDefault="00615B9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D799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615B9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7"/>
              </w:rPr>
            </w:pPr>
          </w:p>
          <w:p w:rsidR="00FD7997" w:rsidRDefault="00615B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99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spacing w:before="10"/>
              <w:rPr>
                <w:sz w:val="17"/>
              </w:rPr>
            </w:pPr>
          </w:p>
          <w:p w:rsidR="00FD7997" w:rsidRDefault="00615B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92D050"/>
          </w:tcPr>
          <w:p w:rsidR="00FD7997" w:rsidRDefault="00615B9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D7997" w:rsidRDefault="00FD7997">
            <w:pPr>
              <w:pStyle w:val="TableParagraph"/>
              <w:spacing w:before="10"/>
              <w:rPr>
                <w:sz w:val="17"/>
              </w:rPr>
            </w:pPr>
          </w:p>
          <w:p w:rsidR="00FD7997" w:rsidRDefault="00615B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11"/>
              <w:rPr>
                <w:sz w:val="20"/>
              </w:rPr>
            </w:pPr>
          </w:p>
          <w:p w:rsidR="00FD7997" w:rsidRDefault="00615B9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D7997" w:rsidRDefault="00615B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615B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D7997" w:rsidRDefault="00FD7997">
            <w:pPr>
              <w:pStyle w:val="TableParagraph"/>
              <w:rPr>
                <w:sz w:val="14"/>
              </w:rPr>
            </w:pPr>
          </w:p>
          <w:p w:rsidR="00FD7997" w:rsidRDefault="00FD7997">
            <w:pPr>
              <w:pStyle w:val="TableParagraph"/>
              <w:spacing w:before="2"/>
              <w:rPr>
                <w:sz w:val="11"/>
              </w:rPr>
            </w:pPr>
          </w:p>
          <w:p w:rsidR="00FD7997" w:rsidRDefault="00615B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D7997" w:rsidRDefault="00615B9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D7997" w:rsidRDefault="00FD7997">
            <w:pPr>
              <w:rPr>
                <w:sz w:val="2"/>
                <w:szCs w:val="2"/>
              </w:rPr>
            </w:pPr>
          </w:p>
        </w:tc>
      </w:tr>
      <w:tr w:rsidR="00FD799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D7997" w:rsidRDefault="00615B9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D7997" w:rsidRDefault="00FD7997">
      <w:pPr>
        <w:spacing w:line="107" w:lineRule="exact"/>
        <w:rPr>
          <w:sz w:val="11"/>
        </w:rPr>
        <w:sectPr w:rsidR="00FD7997">
          <w:pgSz w:w="11910" w:h="16840"/>
          <w:pgMar w:top="1600" w:right="0" w:bottom="280" w:left="1680" w:header="720" w:footer="720" w:gutter="0"/>
          <w:cols w:space="720"/>
        </w:sect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10"/>
        </w:rPr>
      </w:pPr>
    </w:p>
    <w:p w:rsidR="00FD7997" w:rsidRDefault="00FD7997">
      <w:pPr>
        <w:pStyle w:val="Textoindependiente"/>
        <w:spacing w:before="3"/>
        <w:rPr>
          <w:sz w:val="9"/>
        </w:rPr>
      </w:pPr>
    </w:p>
    <w:p w:rsidR="00FD7997" w:rsidRDefault="00615B9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671,1164r-2240,l5604,2630r657,-682l6803,1796r902,l7671,1164xm3966,-1979r-433,612l4631,-379,3231,89,4682,362,3729,1490r512,548l5431,1164r2240,l7668,1093,8575,824,8728,89r-45,-659l6266,-570r148,-706l5264,-1276,3966,-1979xm7705,1796r-902,l7718,2038r-13,-242xm7993,-1979l6266,-570r2417,l8677,-660r-251,-707l7993,-1979xm6723,-2752r-743,510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242r743,-510l6266,-570,7993,-1979r433,612l8677,-660r51,749l8575,824r-907,269l7718,2038,6803,1796r-542,152l5604,2630,5431,1164,4241,2038,3729,1490,4682,362,3231,89,4631,-379,3533,-1367r433,-612l5264,-1276r716,-96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FD7997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FD7997" w:rsidRDefault="00615B9A">
                        <w:pPr>
                          <w:pStyle w:val="TableParagraph"/>
                          <w:spacing w:line="193" w:lineRule="exact"/>
                          <w:ind w:left="276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Coyutla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D7997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FD7997" w:rsidRDefault="00FD799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997" w:rsidRDefault="00FD799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HGOTPG010</w:t>
                        </w:r>
                      </w:p>
                    </w:tc>
                  </w:tr>
                  <w:tr w:rsidR="00FD7997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FD7997" w:rsidRDefault="00615B9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D7997" w:rsidRDefault="00FD799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D7997" w:rsidRDefault="00FD799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D7997" w:rsidRDefault="00FD7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D7997" w:rsidRDefault="00615B9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D7997" w:rsidRDefault="00615B9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997" w:rsidRDefault="00615B9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130620101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D7997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D7997" w:rsidRDefault="00FD799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D7997" w:rsidRDefault="00615B9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7997" w:rsidRDefault="00FD799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D7997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FD7997" w:rsidRDefault="00615B9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D7997" w:rsidRDefault="00FD799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FD7997">
      <w:pPr>
        <w:pStyle w:val="Textoindependiente"/>
        <w:rPr>
          <w:sz w:val="20"/>
        </w:rPr>
      </w:pPr>
    </w:p>
    <w:p w:rsidR="00FD7997" w:rsidRDefault="00615B9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D799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997"/>
    <w:rsid w:val="00615B9A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3E1C627"/>
  <w15:docId w15:val="{1F05D973-1386-4415-AC51-0AEE6F5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934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2019-05-29T16:10:00Z</dcterms:created>
  <dcterms:modified xsi:type="dcterms:W3CDTF">2019-05-30T02:47:00Z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