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15" w:rsidRDefault="00DA153C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42BD851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spacing w:before="1"/>
        <w:rPr>
          <w:sz w:val="27"/>
        </w:rPr>
      </w:pPr>
    </w:p>
    <w:p w:rsidR="00FF5B15" w:rsidRDefault="00DA153C">
      <w:pPr>
        <w:spacing w:before="82" w:line="490" w:lineRule="exact"/>
        <w:ind w:left="3684" w:right="4982"/>
        <w:jc w:val="center"/>
        <w:rPr>
          <w:b/>
          <w:sz w:val="44"/>
        </w:rPr>
      </w:pPr>
      <w:proofErr w:type="spellStart"/>
      <w:r>
        <w:rPr>
          <w:b/>
          <w:color w:val="1A161B"/>
          <w:sz w:val="44"/>
        </w:rPr>
        <w:t>Acanoa</w:t>
      </w:r>
      <w:proofErr w:type="spellEnd"/>
    </w:p>
    <w:p w:rsidR="00FF5B15" w:rsidRDefault="00DA153C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1423456</wp:posOffset>
            </wp:positionV>
            <wp:extent cx="5983697" cy="44363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697" cy="443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61B"/>
          <w:sz w:val="24"/>
        </w:rPr>
        <w:t>CCIEH: HGOXOC001</w:t>
      </w: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spacing w:before="10"/>
        <w:rPr>
          <w:sz w:val="19"/>
        </w:rPr>
      </w:pPr>
    </w:p>
    <w:p w:rsidR="00FF5B15" w:rsidRDefault="00DA153C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1A161B"/>
          <w:sz w:val="24"/>
        </w:rPr>
        <w:t>Acanoa</w:t>
      </w:r>
      <w:proofErr w:type="spellEnd"/>
      <w:r>
        <w:rPr>
          <w:color w:val="1A161B"/>
          <w:sz w:val="24"/>
        </w:rPr>
        <w:t>: 130780002</w:t>
      </w:r>
    </w:p>
    <w:p w:rsidR="00FF5B15" w:rsidRDefault="00FF5B15">
      <w:pPr>
        <w:jc w:val="right"/>
        <w:rPr>
          <w:sz w:val="24"/>
        </w:rPr>
        <w:sectPr w:rsidR="00FF5B1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DA153C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F5B15" w:rsidRDefault="00DA153C">
      <w:pPr>
        <w:pStyle w:val="Ttulo1"/>
        <w:spacing w:before="275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Acanoa</w:t>
      </w:r>
      <w:proofErr w:type="spellEnd"/>
      <w:r>
        <w:t>, del Municipio de Xochiatipan, con cla</w:t>
      </w:r>
      <w:r>
        <w:t xml:space="preserve">ve INEGI </w:t>
      </w:r>
      <w:r>
        <w:rPr>
          <w:b/>
        </w:rPr>
        <w:t>130780002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HGOXOC001</w:t>
      </w:r>
      <w:r>
        <w:t>.</w:t>
      </w:r>
    </w:p>
    <w:p w:rsidR="00FF5B15" w:rsidRDefault="00FF5B15">
      <w:pPr>
        <w:pStyle w:val="Textoindependiente"/>
        <w:rPr>
          <w:sz w:val="24"/>
        </w:rPr>
      </w:pPr>
    </w:p>
    <w:p w:rsidR="00FF5B15" w:rsidRDefault="00DA153C">
      <w:pPr>
        <w:pStyle w:val="Textoindependiente"/>
        <w:ind w:left="401" w:right="1699" w:hanging="1"/>
        <w:jc w:val="both"/>
      </w:pPr>
      <w:proofErr w:type="spellStart"/>
      <w:r>
        <w:rPr>
          <w:b/>
        </w:rPr>
        <w:t>Acanoa</w:t>
      </w:r>
      <w:proofErr w:type="spellEnd"/>
      <w:r>
        <w:rPr>
          <w:b/>
        </w:rPr>
        <w:t xml:space="preserve"> </w:t>
      </w:r>
      <w:r>
        <w:t>mantiene una intensa vida social que es articula</w:t>
      </w:r>
      <w:r>
        <w:t>da por sus autoridades, elegidas por un periodo de un año en Asambleas Generales, a las cuales son convocados los jefes de familia.</w:t>
      </w:r>
    </w:p>
    <w:p w:rsidR="00FF5B15" w:rsidRDefault="00FF5B15">
      <w:pPr>
        <w:pStyle w:val="Textoindependiente"/>
      </w:pPr>
    </w:p>
    <w:p w:rsidR="00FF5B15" w:rsidRDefault="00DA153C">
      <w:pPr>
        <w:pStyle w:val="Textoindependiente"/>
        <w:ind w:left="401" w:right="1699"/>
        <w:jc w:val="both"/>
      </w:pPr>
      <w:r>
        <w:t>Hay un 88 por ciento de Hablantes de Lengua Indígena, mismos que hacen uso del náhuatl como lengua materna.</w:t>
      </w:r>
    </w:p>
    <w:p w:rsidR="00FF5B15" w:rsidRDefault="00FF5B15">
      <w:pPr>
        <w:pStyle w:val="Textoindependiente"/>
      </w:pPr>
    </w:p>
    <w:p w:rsidR="00FF5B15" w:rsidRDefault="00DA153C">
      <w:pPr>
        <w:pStyle w:val="Textoindependiente"/>
        <w:ind w:left="401" w:right="1696"/>
        <w:jc w:val="both"/>
      </w:pPr>
      <w:r>
        <w:t xml:space="preserve">Sobre las prácticas culturales, se observa que las Fiestas Tradicionales mantienen bastante fuerza y carácter unificador debido a que una parte importante está arraigada al credo religioso. También se constató que otras ceremonias y ritos agrícolas tienen </w:t>
      </w:r>
      <w:r>
        <w:t>presencia como agradecimiento a la tierra por las cosechas. Se suma a lo dicho la existencia de manifestaciones culturales como la danza y música.</w:t>
      </w:r>
    </w:p>
    <w:p w:rsidR="00FF5B15" w:rsidRDefault="00FF5B15">
      <w:pPr>
        <w:pStyle w:val="Textoindependiente"/>
      </w:pPr>
    </w:p>
    <w:p w:rsidR="00FF5B15" w:rsidRDefault="00DA153C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</w:t>
      </w:r>
      <w:r>
        <w:t>os al interior de la</w:t>
      </w:r>
      <w:r>
        <w:rPr>
          <w:spacing w:val="-1"/>
        </w:rPr>
        <w:t xml:space="preserve"> </w:t>
      </w:r>
      <w:r>
        <w:t>comunidad.</w:t>
      </w:r>
    </w:p>
    <w:p w:rsidR="00FF5B15" w:rsidRDefault="00FF5B15">
      <w:pPr>
        <w:pStyle w:val="Textoindependiente"/>
      </w:pPr>
    </w:p>
    <w:p w:rsidR="00FF5B15" w:rsidRDefault="00DA153C">
      <w:pPr>
        <w:pStyle w:val="Textoindependiente"/>
        <w:ind w:left="401" w:right="1697"/>
        <w:jc w:val="both"/>
      </w:pPr>
      <w:r>
        <w:t>La apertura del centro de salud ha provocado que menos personas acudan a la medicina tradicional para curar sus males, sin embargo, aún es patente su práctica. Aunque en ocasiones las parteras han sido sustituidas por médic</w:t>
      </w:r>
      <w:r>
        <w:t>os que atienden los partos en los centros hospitalarios estatales o privados cercanos.</w:t>
      </w:r>
    </w:p>
    <w:p w:rsidR="00FF5B15" w:rsidRDefault="00FF5B15">
      <w:pPr>
        <w:jc w:val="both"/>
        <w:sectPr w:rsidR="00FF5B15">
          <w:pgSz w:w="12240" w:h="15840"/>
          <w:pgMar w:top="1060" w:right="0" w:bottom="280" w:left="1300" w:header="720" w:footer="720" w:gutter="0"/>
          <w:cols w:space="720"/>
        </w:sect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DA153C" w:rsidRDefault="00DA153C">
      <w:pPr>
        <w:pStyle w:val="Textoindependiente"/>
        <w:rPr>
          <w:sz w:val="20"/>
        </w:rPr>
      </w:pPr>
    </w:p>
    <w:p w:rsidR="00DA153C" w:rsidRDefault="00DA153C">
      <w:pPr>
        <w:pStyle w:val="Textoindependiente"/>
        <w:rPr>
          <w:sz w:val="20"/>
        </w:rPr>
      </w:pPr>
    </w:p>
    <w:p w:rsidR="00DA153C" w:rsidRDefault="00DA153C">
      <w:pPr>
        <w:pStyle w:val="Textoindependiente"/>
        <w:rPr>
          <w:sz w:val="20"/>
        </w:rPr>
      </w:pPr>
    </w:p>
    <w:p w:rsidR="00FF5B15" w:rsidRDefault="00FF5B1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39"/>
        <w:gridCol w:w="1567"/>
        <w:gridCol w:w="1334"/>
      </w:tblGrid>
      <w:tr w:rsidR="00FF5B15">
        <w:trPr>
          <w:trHeight w:val="759"/>
        </w:trPr>
        <w:tc>
          <w:tcPr>
            <w:tcW w:w="4639" w:type="dxa"/>
          </w:tcPr>
          <w:p w:rsidR="00FF5B15" w:rsidRDefault="00DA153C">
            <w:pPr>
              <w:pStyle w:val="TableParagraph"/>
              <w:spacing w:before="0" w:line="193" w:lineRule="exact"/>
              <w:ind w:left="303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Acanoa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1567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4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F5B15">
        <w:trPr>
          <w:trHeight w:val="741"/>
        </w:trPr>
        <w:tc>
          <w:tcPr>
            <w:tcW w:w="4639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7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4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FF5B15" w:rsidRDefault="00FF5B15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FF5B15" w:rsidRDefault="00DA153C">
            <w:pPr>
              <w:pStyle w:val="TableParagraph"/>
              <w:spacing w:before="0" w:line="161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F5B15">
        <w:trPr>
          <w:trHeight w:val="189"/>
        </w:trPr>
        <w:tc>
          <w:tcPr>
            <w:tcW w:w="4639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7" w:type="dxa"/>
          </w:tcPr>
          <w:p w:rsidR="00FF5B15" w:rsidRDefault="00DA153C">
            <w:pPr>
              <w:pStyle w:val="TableParagraph"/>
              <w:spacing w:before="8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4" w:type="dxa"/>
          </w:tcPr>
          <w:p w:rsidR="00FF5B15" w:rsidRDefault="00DA153C">
            <w:pPr>
              <w:pStyle w:val="TableParagraph"/>
              <w:spacing w:before="3" w:line="166" w:lineRule="exact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HGOXOC001</w:t>
            </w:r>
          </w:p>
        </w:tc>
      </w:tr>
      <w:tr w:rsidR="00FF5B15">
        <w:trPr>
          <w:trHeight w:val="369"/>
        </w:trPr>
        <w:tc>
          <w:tcPr>
            <w:tcW w:w="4639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7" w:type="dxa"/>
          </w:tcPr>
          <w:p w:rsidR="00FF5B15" w:rsidRDefault="00DA153C">
            <w:pPr>
              <w:pStyle w:val="TableParagraph"/>
              <w:spacing w:before="3" w:line="240" w:lineRule="auto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4" w:type="dxa"/>
          </w:tcPr>
          <w:p w:rsidR="00FF5B15" w:rsidRDefault="00DA153C">
            <w:pPr>
              <w:pStyle w:val="TableParagraph"/>
              <w:spacing w:before="3" w:line="240" w:lineRule="auto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130780002</w:t>
            </w:r>
          </w:p>
        </w:tc>
      </w:tr>
      <w:tr w:rsidR="00FF5B15">
        <w:trPr>
          <w:trHeight w:val="190"/>
        </w:trPr>
        <w:tc>
          <w:tcPr>
            <w:tcW w:w="4639" w:type="dxa"/>
            <w:vMerge w:val="restart"/>
            <w:shd w:val="clear" w:color="auto" w:fill="000000"/>
          </w:tcPr>
          <w:p w:rsidR="00FF5B15" w:rsidRDefault="00DA153C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7" w:type="dxa"/>
            <w:shd w:val="clear" w:color="auto" w:fill="000000"/>
          </w:tcPr>
          <w:p w:rsidR="00FF5B15" w:rsidRDefault="00DA153C">
            <w:pPr>
              <w:pStyle w:val="TableParagraph"/>
              <w:spacing w:before="8" w:line="161" w:lineRule="exact"/>
              <w:ind w:left="510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4" w:type="dxa"/>
            <w:shd w:val="clear" w:color="auto" w:fill="000000"/>
          </w:tcPr>
          <w:p w:rsidR="00FF5B15" w:rsidRDefault="00DA153C">
            <w:pPr>
              <w:pStyle w:val="TableParagraph"/>
              <w:spacing w:before="8" w:line="161" w:lineRule="exact"/>
              <w:ind w:left="32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F5B15">
        <w:trPr>
          <w:trHeight w:val="179"/>
        </w:trPr>
        <w:tc>
          <w:tcPr>
            <w:tcW w:w="4639" w:type="dxa"/>
            <w:vMerge/>
            <w:tcBorders>
              <w:top w:val="nil"/>
            </w:tcBorders>
            <w:shd w:val="clear" w:color="auto" w:fill="0000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shd w:val="clear" w:color="auto" w:fill="000000"/>
          </w:tcPr>
          <w:p w:rsidR="00FF5B15" w:rsidRDefault="00DA153C">
            <w:pPr>
              <w:pStyle w:val="TableParagraph"/>
              <w:spacing w:before="3" w:line="156" w:lineRule="exact"/>
              <w:ind w:left="380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4" w:type="dxa"/>
            <w:shd w:val="clear" w:color="auto" w:fill="000000"/>
          </w:tcPr>
          <w:p w:rsidR="00FF5B15" w:rsidRDefault="00DA153C">
            <w:pPr>
              <w:pStyle w:val="TableParagraph"/>
              <w:spacing w:before="3" w:line="156" w:lineRule="exact"/>
              <w:ind w:left="200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F5B15">
        <w:trPr>
          <w:trHeight w:val="185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4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0" w:line="165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88.0%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5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2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2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5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7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92D05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5"/>
        </w:trPr>
        <w:tc>
          <w:tcPr>
            <w:tcW w:w="4639" w:type="dxa"/>
            <w:shd w:val="clear" w:color="auto" w:fill="FFFF00"/>
          </w:tcPr>
          <w:p w:rsidR="00FF5B15" w:rsidRDefault="00DA153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7" w:type="dxa"/>
            <w:shd w:val="clear" w:color="auto" w:fill="FFFF00"/>
          </w:tcPr>
          <w:p w:rsidR="00FF5B15" w:rsidRDefault="00DA153C">
            <w:pPr>
              <w:pStyle w:val="TableParagraph"/>
              <w:spacing w:before="4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FFFF00"/>
          </w:tcPr>
          <w:p w:rsidR="00FF5B15" w:rsidRDefault="00DA153C">
            <w:pPr>
              <w:pStyle w:val="TableParagraph"/>
              <w:spacing w:before="4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FFFF00"/>
          </w:tcPr>
          <w:p w:rsidR="00FF5B15" w:rsidRDefault="00DA15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7" w:type="dxa"/>
            <w:shd w:val="clear" w:color="auto" w:fill="FFFF0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FFFF0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FFFF00"/>
          </w:tcPr>
          <w:p w:rsidR="00FF5B15" w:rsidRDefault="00DA15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7" w:type="dxa"/>
            <w:shd w:val="clear" w:color="auto" w:fill="FFFF0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FFFF0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FFFF00"/>
          </w:tcPr>
          <w:p w:rsidR="00FF5B15" w:rsidRDefault="00DA15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7" w:type="dxa"/>
            <w:shd w:val="clear" w:color="auto" w:fill="FFFF00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FFFF00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F5B15">
        <w:trPr>
          <w:trHeight w:val="185"/>
        </w:trPr>
        <w:tc>
          <w:tcPr>
            <w:tcW w:w="4639" w:type="dxa"/>
            <w:shd w:val="clear" w:color="auto" w:fill="F9BE8F"/>
          </w:tcPr>
          <w:p w:rsidR="00FF5B15" w:rsidRDefault="00DA153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7" w:type="dxa"/>
            <w:shd w:val="clear" w:color="auto" w:fill="F9BE8F"/>
          </w:tcPr>
          <w:p w:rsidR="00FF5B15" w:rsidRDefault="00DA153C">
            <w:pPr>
              <w:pStyle w:val="TableParagraph"/>
              <w:spacing w:before="4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F9BE8F"/>
          </w:tcPr>
          <w:p w:rsidR="00FF5B15" w:rsidRDefault="00DA153C">
            <w:pPr>
              <w:pStyle w:val="TableParagraph"/>
              <w:spacing w:before="4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F9BE8F"/>
          </w:tcPr>
          <w:p w:rsidR="00FF5B15" w:rsidRDefault="00DA15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7" w:type="dxa"/>
            <w:shd w:val="clear" w:color="auto" w:fill="F9BE8F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F9BE8F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F9BE8F"/>
          </w:tcPr>
          <w:p w:rsidR="00FF5B15" w:rsidRDefault="00DA15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7" w:type="dxa"/>
            <w:shd w:val="clear" w:color="auto" w:fill="F9BE8F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4" w:type="dxa"/>
            <w:shd w:val="clear" w:color="auto" w:fill="F9BE8F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184"/>
        </w:trPr>
        <w:tc>
          <w:tcPr>
            <w:tcW w:w="4639" w:type="dxa"/>
            <w:shd w:val="clear" w:color="auto" w:fill="F9BE8F"/>
          </w:tcPr>
          <w:p w:rsidR="00FF5B15" w:rsidRDefault="00DA15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7" w:type="dxa"/>
            <w:shd w:val="clear" w:color="auto" w:fill="F9BE8F"/>
          </w:tcPr>
          <w:p w:rsidR="00FF5B15" w:rsidRDefault="00DA153C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F9BE8F"/>
          </w:tcPr>
          <w:p w:rsidR="00FF5B15" w:rsidRDefault="00DA153C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F5B15">
        <w:trPr>
          <w:trHeight w:val="187"/>
        </w:trPr>
        <w:tc>
          <w:tcPr>
            <w:tcW w:w="4639" w:type="dxa"/>
            <w:shd w:val="clear" w:color="auto" w:fill="DCE6F0"/>
          </w:tcPr>
          <w:p w:rsidR="00FF5B15" w:rsidRDefault="00DA153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7" w:type="dxa"/>
            <w:shd w:val="clear" w:color="auto" w:fill="DCE6F0"/>
          </w:tcPr>
          <w:p w:rsidR="00FF5B15" w:rsidRDefault="00DA153C">
            <w:pPr>
              <w:pStyle w:val="TableParagraph"/>
              <w:spacing w:before="4" w:line="163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DCE6F0"/>
          </w:tcPr>
          <w:p w:rsidR="00FF5B15" w:rsidRDefault="00DA153C">
            <w:pPr>
              <w:pStyle w:val="TableParagraph"/>
              <w:spacing w:before="4" w:line="163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F5B15">
        <w:trPr>
          <w:trHeight w:val="3141"/>
        </w:trPr>
        <w:tc>
          <w:tcPr>
            <w:tcW w:w="4639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DA153C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7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4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FF5B15">
        <w:trPr>
          <w:trHeight w:val="185"/>
        </w:trPr>
        <w:tc>
          <w:tcPr>
            <w:tcW w:w="7540" w:type="dxa"/>
            <w:gridSpan w:val="3"/>
          </w:tcPr>
          <w:p w:rsidR="00FF5B15" w:rsidRDefault="00DA153C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F5B15">
        <w:trPr>
          <w:trHeight w:val="164"/>
        </w:trPr>
        <w:tc>
          <w:tcPr>
            <w:tcW w:w="4639" w:type="dxa"/>
          </w:tcPr>
          <w:p w:rsidR="00FF5B15" w:rsidRDefault="00DA153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7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4" w:type="dxa"/>
          </w:tcPr>
          <w:p w:rsidR="00FF5B15" w:rsidRDefault="00FF5B15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FF5B15" w:rsidRDefault="00FF5B15">
      <w:pPr>
        <w:rPr>
          <w:sz w:val="10"/>
        </w:rPr>
        <w:sectPr w:rsidR="00FF5B15">
          <w:pgSz w:w="11910" w:h="16840"/>
          <w:pgMar w:top="1600" w:right="0" w:bottom="280" w:left="1680" w:header="720" w:footer="720" w:gutter="0"/>
          <w:cols w:space="720"/>
        </w:sectPr>
      </w:pPr>
    </w:p>
    <w:p w:rsidR="00FF5B15" w:rsidRDefault="00DA153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F5B1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FF5B1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DA153C">
            <w:pPr>
              <w:pStyle w:val="TableParagraph"/>
              <w:spacing w:before="0" w:line="193" w:lineRule="exact"/>
              <w:ind w:left="8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Acanoa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FF5B1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FF5B1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FF5B15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FF5B1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FF5B1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DA153C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DA153C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HGOXOC001</w:t>
            </w:r>
          </w:p>
        </w:tc>
      </w:tr>
      <w:tr w:rsidR="00FF5B15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FF5B1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FF5B1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DA153C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F5B15" w:rsidRDefault="00DA153C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130780002</w:t>
            </w:r>
          </w:p>
        </w:tc>
      </w:tr>
      <w:tr w:rsidR="00FF5B1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5B15" w:rsidRDefault="00FF5B15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5B15" w:rsidRDefault="00FF5B15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5B15" w:rsidRDefault="00DA153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F5B15" w:rsidRDefault="00FF5B15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FF5B1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F5B15" w:rsidRDefault="00DA153C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F5B15" w:rsidRDefault="00DA153C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F5B15" w:rsidRDefault="00DA153C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F5B15" w:rsidRDefault="00DA153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88.0%</w:t>
            </w:r>
          </w:p>
        </w:tc>
      </w:tr>
      <w:tr w:rsidR="00FF5B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DA153C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DA153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F5B1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shd w:val="clear" w:color="auto" w:fill="92D050"/>
          </w:tcPr>
          <w:p w:rsidR="00FF5B15" w:rsidRDefault="00DA153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5B15" w:rsidRDefault="00DA15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DA153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shd w:val="clear" w:color="auto" w:fill="92D050"/>
          </w:tcPr>
          <w:p w:rsidR="00FF5B15" w:rsidRDefault="00DA153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5B15" w:rsidRDefault="00DA15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B15" w:rsidRDefault="00DA153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shd w:val="clear" w:color="auto" w:fill="92D050"/>
          </w:tcPr>
          <w:p w:rsidR="00FF5B15" w:rsidRDefault="00DA153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5B15" w:rsidRDefault="00DA15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DA153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shd w:val="clear" w:color="auto" w:fill="92D050"/>
          </w:tcPr>
          <w:p w:rsidR="00FF5B15" w:rsidRDefault="00DA153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5B15" w:rsidRDefault="00DA15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DA153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FF5B1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FF5B15" w:rsidRDefault="00DA153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shd w:val="clear" w:color="auto" w:fill="92D050"/>
          </w:tcPr>
          <w:p w:rsidR="00FF5B15" w:rsidRDefault="00DA153C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F5B15" w:rsidRDefault="00DA15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5B15" w:rsidRDefault="00FF5B15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FF5B15" w:rsidRDefault="00DA153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shd w:val="clear" w:color="auto" w:fill="FFFF00"/>
          </w:tcPr>
          <w:p w:rsidR="00FF5B15" w:rsidRDefault="00DA153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F5B15" w:rsidRDefault="00DA15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shd w:val="clear" w:color="auto" w:fill="FFFF00"/>
          </w:tcPr>
          <w:p w:rsidR="00FF5B15" w:rsidRDefault="00DA153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F5B15" w:rsidRDefault="00DA15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DA153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shd w:val="clear" w:color="auto" w:fill="F9BE8F"/>
          </w:tcPr>
          <w:p w:rsidR="00FF5B15" w:rsidRDefault="00DA153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F5B15" w:rsidRDefault="00DA15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DA153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DA153C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shd w:val="clear" w:color="auto" w:fill="F9BE8F"/>
          </w:tcPr>
          <w:p w:rsidR="00FF5B15" w:rsidRDefault="00DA153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FF5B15" w:rsidRDefault="00DA153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DA153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F5B15" w:rsidRDefault="00FF5B1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F5B15" w:rsidRDefault="00FF5B15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FF5B15" w:rsidRDefault="00DA153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F5B15" w:rsidRDefault="00DA153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F5B15" w:rsidRDefault="00DA153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F5B15" w:rsidRDefault="00FF5B15">
            <w:pPr>
              <w:rPr>
                <w:sz w:val="2"/>
                <w:szCs w:val="2"/>
              </w:rPr>
            </w:pPr>
          </w:p>
        </w:tc>
      </w:tr>
      <w:tr w:rsidR="00FF5B1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F5B15" w:rsidRDefault="00DA153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F5B15" w:rsidRDefault="00FF5B15">
      <w:pPr>
        <w:spacing w:line="107" w:lineRule="exact"/>
        <w:rPr>
          <w:sz w:val="11"/>
        </w:rPr>
        <w:sectPr w:rsidR="00FF5B15">
          <w:pgSz w:w="11910" w:h="16840"/>
          <w:pgMar w:top="1600" w:right="0" w:bottom="280" w:left="1680" w:header="720" w:footer="720" w:gutter="0"/>
          <w:cols w:space="720"/>
        </w:sect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spacing w:before="2"/>
        <w:rPr>
          <w:sz w:val="19"/>
        </w:rPr>
      </w:pPr>
    </w:p>
    <w:p w:rsidR="00FF5B15" w:rsidRDefault="00DA153C">
      <w:pPr>
        <w:ind w:left="3569" w:right="5024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Acanoa</w:t>
      </w:r>
      <w:proofErr w:type="spellEnd"/>
      <w:r>
        <w:rPr>
          <w:b/>
          <w:w w:val="105"/>
          <w:sz w:val="17"/>
        </w:rPr>
        <w:t>, Xochiatipan</w:t>
      </w:r>
    </w:p>
    <w:p w:rsidR="00FF5B15" w:rsidRDefault="00FF5B15">
      <w:pPr>
        <w:pStyle w:val="Textoindependiente"/>
        <w:spacing w:before="6"/>
        <w:rPr>
          <w:b/>
          <w:sz w:val="23"/>
        </w:rPr>
      </w:pPr>
    </w:p>
    <w:p w:rsidR="00FF5B15" w:rsidRDefault="00DA153C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HGOXOC001 Clave</w:t>
      </w:r>
      <w:r>
        <w:rPr>
          <w:spacing w:val="-1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130780002</w:t>
      </w:r>
    </w:p>
    <w:p w:rsidR="00FF5B15" w:rsidRDefault="00FF5B15">
      <w:pPr>
        <w:spacing w:line="264" w:lineRule="auto"/>
        <w:rPr>
          <w:sz w:val="14"/>
        </w:rPr>
        <w:sectPr w:rsidR="00FF5B15">
          <w:pgSz w:w="11910" w:h="16840"/>
          <w:pgMar w:top="1600" w:right="0" w:bottom="280" w:left="1680" w:header="720" w:footer="720" w:gutter="0"/>
          <w:cols w:space="720"/>
        </w:sectPr>
      </w:pPr>
    </w:p>
    <w:p w:rsidR="00FF5B15" w:rsidRDefault="00DA153C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FF5B15" w:rsidRDefault="00DA153C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39616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6723,217l5980,445,4548,516,5980,2870,5604,5599r751,l6528,4133r1871,l8575,3793r153,-735l8677,2309,8458,1693r-1763,l6723,217xm5980,2870l3231,3058r2100,43l3729,4459r512,548l5980,2870xm8399,4133r-1871,l7718,5007r512,-548l8399,4133xm7993,990l6695,1693r1763,l8426,1602,7993,990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445l6723,217r-28,1476l7993,990r433,612l8677,2309r51,749l8575,3793r-345,666l7718,5007,6528,4133,6355,5599r-751,l5980,2870,4241,5007,3729,4459,5331,3101,3231,3058,5980,2870,3533,1602,5980,2870,4548,516,5980,445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FF5B15" w:rsidRDefault="00DA153C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FF5B15" w:rsidRDefault="00FF5B15">
      <w:pPr>
        <w:rPr>
          <w:sz w:val="8"/>
        </w:rPr>
        <w:sectPr w:rsidR="00FF5B15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FF5B15" w:rsidRDefault="00DA153C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FF5B15" w:rsidRDefault="00DA153C">
      <w:pPr>
        <w:spacing w:before="160"/>
        <w:ind w:left="3097" w:right="5024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FF5B15" w:rsidRDefault="00DA153C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FF5B15" w:rsidRDefault="00DA153C">
      <w:pPr>
        <w:spacing w:before="218"/>
        <w:ind w:left="3097" w:right="5024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FF5B15" w:rsidRDefault="00DA153C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FF5B15" w:rsidRDefault="00DA153C">
      <w:pPr>
        <w:spacing w:before="132"/>
        <w:ind w:left="3097" w:right="5024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FF5B15" w:rsidRDefault="00FF5B15">
      <w:pPr>
        <w:jc w:val="center"/>
        <w:rPr>
          <w:sz w:val="7"/>
        </w:rPr>
        <w:sectPr w:rsidR="00FF5B15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FF5B15" w:rsidRDefault="00FF5B15">
      <w:pPr>
        <w:pStyle w:val="Textoindependiente"/>
        <w:rPr>
          <w:b/>
          <w:sz w:val="10"/>
        </w:rPr>
      </w:pPr>
    </w:p>
    <w:p w:rsidR="00FF5B15" w:rsidRDefault="00FF5B15">
      <w:pPr>
        <w:pStyle w:val="Textoindependiente"/>
        <w:rPr>
          <w:b/>
          <w:sz w:val="10"/>
        </w:rPr>
      </w:pPr>
    </w:p>
    <w:p w:rsidR="00FF5B15" w:rsidRDefault="00FF5B15">
      <w:pPr>
        <w:pStyle w:val="Textoindependiente"/>
        <w:rPr>
          <w:b/>
          <w:sz w:val="10"/>
        </w:rPr>
      </w:pPr>
    </w:p>
    <w:p w:rsidR="00FF5B15" w:rsidRDefault="00DA153C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spacing w:before="8"/>
        <w:rPr>
          <w:sz w:val="9"/>
        </w:rPr>
      </w:pPr>
    </w:p>
    <w:p w:rsidR="00FF5B15" w:rsidRDefault="00DA153C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spacing w:before="5"/>
        <w:rPr>
          <w:sz w:val="8"/>
        </w:rPr>
      </w:pPr>
    </w:p>
    <w:p w:rsidR="00FF5B15" w:rsidRDefault="00DA153C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spacing w:before="3"/>
        <w:rPr>
          <w:sz w:val="12"/>
        </w:rPr>
      </w:pPr>
    </w:p>
    <w:p w:rsidR="00FF5B15" w:rsidRDefault="00DA153C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spacing w:before="7"/>
        <w:rPr>
          <w:sz w:val="11"/>
        </w:rPr>
      </w:pPr>
    </w:p>
    <w:p w:rsidR="00FF5B15" w:rsidRDefault="00DA153C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spacing w:before="10"/>
        <w:rPr>
          <w:sz w:val="12"/>
        </w:rPr>
      </w:pPr>
    </w:p>
    <w:p w:rsidR="00FF5B15" w:rsidRDefault="00DA153C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FF5B15" w:rsidRDefault="00DA153C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FF5B15" w:rsidRDefault="00DA153C">
      <w:pPr>
        <w:pStyle w:val="Textoindependiente"/>
        <w:rPr>
          <w:sz w:val="8"/>
        </w:rPr>
      </w:pPr>
      <w:r>
        <w:br w:type="column"/>
      </w:r>
    </w:p>
    <w:p w:rsidR="00FF5B15" w:rsidRDefault="00FF5B15">
      <w:pPr>
        <w:pStyle w:val="Textoindependiente"/>
        <w:rPr>
          <w:sz w:val="8"/>
        </w:rPr>
      </w:pPr>
    </w:p>
    <w:p w:rsidR="00FF5B15" w:rsidRDefault="00FF5B15">
      <w:pPr>
        <w:pStyle w:val="Textoindependiente"/>
        <w:rPr>
          <w:sz w:val="8"/>
        </w:rPr>
      </w:pPr>
    </w:p>
    <w:p w:rsidR="00FF5B15" w:rsidRDefault="00FF5B15">
      <w:pPr>
        <w:pStyle w:val="Textoindependiente"/>
        <w:rPr>
          <w:sz w:val="8"/>
        </w:rPr>
      </w:pPr>
    </w:p>
    <w:p w:rsidR="00FF5B15" w:rsidRDefault="00FF5B15">
      <w:pPr>
        <w:pStyle w:val="Textoindependiente"/>
        <w:spacing w:before="11"/>
        <w:rPr>
          <w:sz w:val="8"/>
        </w:rPr>
      </w:pPr>
    </w:p>
    <w:p w:rsidR="00FF5B15" w:rsidRDefault="00DA153C">
      <w:pPr>
        <w:ind w:left="134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FF5B15" w:rsidRDefault="00FF5B15">
      <w:pPr>
        <w:pStyle w:val="Textoindependiente"/>
        <w:rPr>
          <w:b/>
          <w:sz w:val="8"/>
        </w:rPr>
      </w:pPr>
    </w:p>
    <w:p w:rsidR="00FF5B15" w:rsidRDefault="00FF5B15">
      <w:pPr>
        <w:pStyle w:val="Textoindependiente"/>
        <w:rPr>
          <w:b/>
          <w:sz w:val="8"/>
        </w:rPr>
      </w:pPr>
    </w:p>
    <w:p w:rsidR="00FF5B15" w:rsidRDefault="00FF5B15">
      <w:pPr>
        <w:pStyle w:val="Textoindependiente"/>
        <w:rPr>
          <w:b/>
          <w:sz w:val="8"/>
        </w:rPr>
      </w:pPr>
    </w:p>
    <w:p w:rsidR="00FF5B15" w:rsidRDefault="00FF5B15">
      <w:pPr>
        <w:pStyle w:val="Textoindependiente"/>
        <w:rPr>
          <w:b/>
          <w:sz w:val="8"/>
        </w:rPr>
      </w:pPr>
    </w:p>
    <w:p w:rsidR="00FF5B15" w:rsidRDefault="00FF5B15">
      <w:pPr>
        <w:pStyle w:val="Textoindependiente"/>
        <w:spacing w:before="10"/>
        <w:rPr>
          <w:b/>
          <w:sz w:val="8"/>
        </w:rPr>
      </w:pPr>
    </w:p>
    <w:p w:rsidR="00FF5B15" w:rsidRDefault="00DA153C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FF5B15" w:rsidRDefault="00DA153C">
      <w:pPr>
        <w:pStyle w:val="Textoindependiente"/>
        <w:rPr>
          <w:b/>
          <w:sz w:val="10"/>
        </w:rPr>
      </w:pPr>
      <w:r>
        <w:br w:type="column"/>
      </w:r>
    </w:p>
    <w:p w:rsidR="00FF5B15" w:rsidRDefault="00FF5B15">
      <w:pPr>
        <w:pStyle w:val="Textoindependiente"/>
        <w:rPr>
          <w:b/>
          <w:sz w:val="10"/>
        </w:rPr>
      </w:pPr>
    </w:p>
    <w:p w:rsidR="00FF5B15" w:rsidRDefault="00FF5B15">
      <w:pPr>
        <w:pStyle w:val="Textoindependiente"/>
        <w:rPr>
          <w:b/>
          <w:sz w:val="10"/>
        </w:rPr>
      </w:pPr>
    </w:p>
    <w:p w:rsidR="00FF5B15" w:rsidRDefault="00DA153C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DA153C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spacing w:before="4"/>
        <w:rPr>
          <w:sz w:val="13"/>
        </w:rPr>
      </w:pPr>
    </w:p>
    <w:p w:rsidR="00FF5B15" w:rsidRDefault="00DA153C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spacing w:before="2"/>
        <w:rPr>
          <w:sz w:val="12"/>
        </w:rPr>
      </w:pPr>
    </w:p>
    <w:p w:rsidR="00FF5B15" w:rsidRDefault="00DA153C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spacing w:before="6"/>
        <w:rPr>
          <w:sz w:val="11"/>
        </w:rPr>
      </w:pPr>
    </w:p>
    <w:p w:rsidR="00FF5B15" w:rsidRDefault="00DA153C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FF5B15" w:rsidRDefault="00FF5B15">
      <w:pPr>
        <w:pStyle w:val="Textoindependiente"/>
        <w:rPr>
          <w:sz w:val="10"/>
        </w:rPr>
      </w:pPr>
    </w:p>
    <w:p w:rsidR="00FF5B15" w:rsidRDefault="00FF5B15">
      <w:pPr>
        <w:pStyle w:val="Textoindependiente"/>
        <w:spacing w:before="4"/>
        <w:rPr>
          <w:sz w:val="11"/>
        </w:rPr>
      </w:pPr>
    </w:p>
    <w:p w:rsidR="00FF5B15" w:rsidRDefault="00DA153C">
      <w:pPr>
        <w:spacing w:line="160" w:lineRule="atLeast"/>
        <w:ind w:left="425" w:right="3875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FF5B15" w:rsidRDefault="00DA153C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FF5B15" w:rsidRDefault="00FF5B15">
      <w:pPr>
        <w:rPr>
          <w:sz w:val="8"/>
        </w:rPr>
        <w:sectPr w:rsidR="00FF5B15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spacing w:before="8"/>
        <w:rPr>
          <w:sz w:val="15"/>
        </w:rPr>
      </w:pPr>
    </w:p>
    <w:p w:rsidR="00FF5B15" w:rsidRDefault="00FF5B15">
      <w:pPr>
        <w:pStyle w:val="Textoindependiente"/>
        <w:spacing w:before="5"/>
        <w:rPr>
          <w:sz w:val="8"/>
        </w:rPr>
      </w:pPr>
    </w:p>
    <w:p w:rsidR="00FF5B15" w:rsidRDefault="00DA153C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rPr>
          <w:sz w:val="20"/>
        </w:rPr>
      </w:pPr>
    </w:p>
    <w:p w:rsidR="00FF5B15" w:rsidRDefault="00FF5B15">
      <w:pPr>
        <w:pStyle w:val="Textoindependiente"/>
        <w:spacing w:before="2"/>
      </w:pPr>
    </w:p>
    <w:p w:rsidR="00FF5B15" w:rsidRDefault="00DA153C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FF5B15" w:rsidRDefault="00DA153C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FF5B15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B15"/>
    <w:rsid w:val="00DA153C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AA01781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2019-05-29T16:20:00Z</dcterms:created>
  <dcterms:modified xsi:type="dcterms:W3CDTF">2019-05-29T19:13:00Z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2019-05-29T00:00:00Z</vt:filetime>
  </property>
</Properties>
</file>